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9B226" w14:textId="70D46AA1" w:rsidR="007E68B9" w:rsidRDefault="008A727D" w:rsidP="00447795">
      <w:pPr>
        <w:pStyle w:val="Heading2"/>
        <w:rPr>
          <w:rtl/>
          <w:lang w:bidi="fa-IR"/>
        </w:rPr>
      </w:pPr>
      <w:commentRangeStart w:id="0"/>
      <w:r>
        <w:rPr>
          <w:rFonts w:hint="cs"/>
          <w:rtl/>
          <w:lang w:val="de-DE" w:bidi="fa-IR"/>
        </w:rPr>
        <w:t xml:space="preserve">زبانه‌ی </w:t>
      </w:r>
      <w:r w:rsidR="00422C01">
        <w:rPr>
          <w:rFonts w:hint="cs"/>
          <w:rtl/>
          <w:lang w:bidi="fa-IR"/>
        </w:rPr>
        <w:t>تست اشباع</w:t>
      </w:r>
      <w:r w:rsidR="00E2244C">
        <w:rPr>
          <w:rFonts w:hint="cs"/>
          <w:rtl/>
          <w:lang w:bidi="fa-IR"/>
        </w:rPr>
        <w:t xml:space="preserve"> </w:t>
      </w:r>
      <w:r w:rsidR="00E2244C">
        <w:rPr>
          <w:lang w:bidi="fa-IR"/>
        </w:rPr>
        <w:t>CT</w:t>
      </w:r>
      <w:r w:rsidR="00E2244C">
        <w:rPr>
          <w:rFonts w:hint="cs"/>
          <w:rtl/>
          <w:lang w:bidi="fa-IR"/>
        </w:rPr>
        <w:t xml:space="preserve"> قسمت</w:t>
      </w:r>
      <w:r w:rsidR="00447795">
        <w:rPr>
          <w:rFonts w:hint="cs"/>
          <w:rtl/>
          <w:lang w:bidi="fa-IR"/>
        </w:rPr>
        <w:t>1</w:t>
      </w:r>
      <w:commentRangeEnd w:id="0"/>
      <w:r w:rsidR="00447795">
        <w:rPr>
          <w:rStyle w:val="CommentReference"/>
          <w:rFonts w:asciiTheme="minorHAnsi" w:eastAsiaTheme="minorHAnsi" w:hAnsiTheme="minorHAnsi"/>
          <w:b w:val="0"/>
          <w:bCs w:val="0"/>
          <w:rtl/>
        </w:rPr>
        <w:commentReference w:id="0"/>
      </w:r>
    </w:p>
    <w:p w14:paraId="0426C568" w14:textId="5EE7B754" w:rsidR="00030DCC" w:rsidRPr="00030DCC" w:rsidRDefault="00030DCC" w:rsidP="00030DCC">
      <w:pPr>
        <w:pStyle w:val="AAAR-Normal"/>
        <w:jc w:val="left"/>
        <w:rPr>
          <w:rtl/>
        </w:rPr>
      </w:pPr>
      <w:r>
        <w:rPr>
          <w:rtl/>
        </w:rPr>
        <w:t>قر</w:t>
      </w:r>
      <w:r>
        <w:rPr>
          <w:rFonts w:hint="cs"/>
          <w:rtl/>
        </w:rPr>
        <w:t>ی</w:t>
      </w:r>
      <w:r>
        <w:rPr>
          <w:rFonts w:hint="eastAsia"/>
          <w:rtl/>
        </w:rPr>
        <w:t>با</w:t>
      </w:r>
      <w:r>
        <w:rPr>
          <w:rtl/>
        </w:rPr>
        <w:t>...</w:t>
      </w:r>
    </w:p>
    <w:p w14:paraId="06642C48" w14:textId="6258A2D8" w:rsidR="00F07847" w:rsidRDefault="00E1791B" w:rsidP="005F0C98">
      <w:pPr>
        <w:pStyle w:val="AAE-Normal"/>
        <w:rPr>
          <w:rtl/>
          <w:lang w:bidi="fa-IR"/>
        </w:rPr>
      </w:pPr>
      <w:r>
        <w:rPr>
          <w:lang w:bidi="fa-IR"/>
        </w:rPr>
        <w:t>“</w:t>
      </w:r>
      <w:r w:rsidR="005643D4">
        <w:t>Excitation</w:t>
      </w:r>
      <w:r w:rsidR="0011565F">
        <w:rPr>
          <w:lang w:bidi="fa-IR"/>
        </w:rPr>
        <w:t xml:space="preserve"> </w:t>
      </w:r>
      <w:r w:rsidR="008A727D">
        <w:rPr>
          <w:lang w:bidi="fa-IR"/>
        </w:rPr>
        <w:t>Test</w:t>
      </w:r>
      <w:r>
        <w:rPr>
          <w:lang w:bidi="fa-IR"/>
        </w:rPr>
        <w:t>” Tab</w:t>
      </w:r>
      <w:r w:rsidR="00447795">
        <w:rPr>
          <w:lang w:bidi="fa-IR"/>
        </w:rPr>
        <w:t xml:space="preserve">, Part </w:t>
      </w:r>
      <w:r w:rsidR="00770507">
        <w:rPr>
          <w:lang w:bidi="fa-IR"/>
        </w:rPr>
        <w:t>1</w:t>
      </w:r>
    </w:p>
    <w:p w14:paraId="4C037CC7" w14:textId="6AE4BB57" w:rsidR="00F07847" w:rsidRDefault="00743693" w:rsidP="008F54F7">
      <w:pPr>
        <w:pStyle w:val="AAG-Normal"/>
        <w:rPr>
          <w:lang w:bidi="fa-IR"/>
        </w:rPr>
      </w:pPr>
      <w:r>
        <w:rPr>
          <w:lang w:bidi="fa-IR"/>
        </w:rPr>
        <w:t xml:space="preserve">Register </w:t>
      </w:r>
      <w:r w:rsidR="008C1C9A" w:rsidRPr="00D32873">
        <w:rPr>
          <w:lang w:val="de-DE"/>
        </w:rPr>
        <w:t>"</w:t>
      </w:r>
      <w:r w:rsidR="00595CFC" w:rsidRPr="00743693">
        <w:rPr>
          <w:lang w:bidi="fa-IR"/>
        </w:rPr>
        <w:t xml:space="preserve">Excitation </w:t>
      </w:r>
      <w:r w:rsidRPr="00743693">
        <w:rPr>
          <w:lang w:bidi="fa-IR"/>
        </w:rPr>
        <w:t>Test</w:t>
      </w:r>
      <w:r w:rsidR="008C1C9A" w:rsidRPr="00D32873">
        <w:rPr>
          <w:lang w:val="de-DE"/>
        </w:rPr>
        <w:t>"</w:t>
      </w:r>
      <w:r w:rsidR="00447795">
        <w:rPr>
          <w:lang w:bidi="fa-IR"/>
        </w:rPr>
        <w:t>, Folge1</w:t>
      </w:r>
    </w:p>
    <w:p w14:paraId="63F3D883" w14:textId="6A7EE9BF" w:rsidR="008F54F7" w:rsidRDefault="007D1C0D" w:rsidP="008F54F7">
      <w:pPr>
        <w:pStyle w:val="AAS-Normal"/>
        <w:rPr>
          <w:lang w:val="es-ES" w:bidi="fa-IR"/>
        </w:rPr>
      </w:pPr>
      <w:r w:rsidRPr="0009263D">
        <w:rPr>
          <w:lang w:val="es-ES" w:bidi="fa-IR"/>
        </w:rPr>
        <w:t>.</w:t>
      </w:r>
      <w:r w:rsidRPr="0009263D">
        <w:rPr>
          <w:lang w:val="es-ES"/>
        </w:rPr>
        <w:t xml:space="preserve"> </w:t>
      </w:r>
      <w:r w:rsidRPr="0009263D">
        <w:rPr>
          <w:lang w:val="es-ES" w:bidi="fa-IR"/>
        </w:rPr>
        <w:t xml:space="preserve">Pestaña "Prueba de excitación", Parte </w:t>
      </w:r>
      <w:r w:rsidR="00770507">
        <w:rPr>
          <w:lang w:val="es-ES" w:bidi="fa-IR"/>
        </w:rPr>
        <w:t>1</w:t>
      </w:r>
    </w:p>
    <w:p w14:paraId="1D74C841" w14:textId="243320BC" w:rsidR="008F54F7" w:rsidRPr="00F07847" w:rsidRDefault="008F54F7" w:rsidP="008150C8">
      <w:pPr>
        <w:pStyle w:val="AAF-Normal"/>
        <w:rPr>
          <w:rtl/>
        </w:rPr>
      </w:pPr>
      <w:r>
        <w:t>Bientôt disponible</w:t>
      </w:r>
    </w:p>
    <w:p w14:paraId="3CD6C818" w14:textId="3DB61874" w:rsidR="00E11911" w:rsidRDefault="00E11911" w:rsidP="00415C22">
      <w:pPr>
        <w:pStyle w:val="Heading3"/>
        <w:rPr>
          <w:rtl/>
        </w:rPr>
      </w:pPr>
      <w:r>
        <w:rPr>
          <w:rFonts w:hint="cs"/>
          <w:rtl/>
        </w:rPr>
        <w:t>ترانسفورماتور و اشباع آن:</w:t>
      </w:r>
    </w:p>
    <w:p w14:paraId="0DD4E513" w14:textId="7732112F" w:rsidR="00030DCC" w:rsidRPr="00030DCC" w:rsidRDefault="00030DCC" w:rsidP="00030DCC">
      <w:pPr>
        <w:pStyle w:val="AAAR-Normal"/>
        <w:jc w:val="left"/>
        <w:rPr>
          <w:rtl/>
        </w:rPr>
      </w:pPr>
      <w:r>
        <w:rPr>
          <w:rtl/>
        </w:rPr>
        <w:t>قر</w:t>
      </w:r>
      <w:r>
        <w:rPr>
          <w:rFonts w:hint="cs"/>
          <w:rtl/>
        </w:rPr>
        <w:t>ی</w:t>
      </w:r>
      <w:r>
        <w:rPr>
          <w:rFonts w:hint="eastAsia"/>
          <w:rtl/>
        </w:rPr>
        <w:t>با</w:t>
      </w:r>
      <w:r>
        <w:rPr>
          <w:rtl/>
        </w:rPr>
        <w:t>...</w:t>
      </w:r>
    </w:p>
    <w:p w14:paraId="16C7067B" w14:textId="77777777" w:rsidR="00F07847" w:rsidRDefault="00BC295E" w:rsidP="005F0C98">
      <w:pPr>
        <w:pStyle w:val="AAE-Normal"/>
        <w:rPr>
          <w:rtl/>
        </w:rPr>
      </w:pPr>
      <w:r w:rsidRPr="0083141F">
        <w:t xml:space="preserve">Transformer </w:t>
      </w:r>
      <w:r w:rsidR="008A727D" w:rsidRPr="0083141F">
        <w:t>Saturation</w:t>
      </w:r>
      <w:r w:rsidR="005643D4">
        <w:t>:</w:t>
      </w:r>
      <w:r>
        <w:t xml:space="preserve"> </w:t>
      </w:r>
    </w:p>
    <w:p w14:paraId="6C505447" w14:textId="4D8A8791" w:rsidR="00F07847" w:rsidRDefault="0083141F" w:rsidP="008F54F7">
      <w:pPr>
        <w:pStyle w:val="AAG-Normal"/>
      </w:pPr>
      <w:r w:rsidRPr="0083141F">
        <w:t>Wandlersättigung</w:t>
      </w:r>
      <w:r>
        <w:t>:</w:t>
      </w:r>
    </w:p>
    <w:p w14:paraId="567FB4F1" w14:textId="08E7BE63" w:rsidR="008F54F7" w:rsidRDefault="007D1C0D" w:rsidP="008F54F7">
      <w:pPr>
        <w:pStyle w:val="AAS-Normal"/>
      </w:pPr>
      <w:r>
        <w:t>.</w:t>
      </w:r>
      <w:r w:rsidRPr="0009263D">
        <w:t xml:space="preserve"> Saturación del transformador:</w:t>
      </w:r>
    </w:p>
    <w:p w14:paraId="1458133F" w14:textId="11E720DF" w:rsidR="008F54F7" w:rsidRPr="00F07847" w:rsidRDefault="008F54F7" w:rsidP="008150C8">
      <w:pPr>
        <w:pStyle w:val="AAF-Normal"/>
        <w:rPr>
          <w:rtl/>
        </w:rPr>
      </w:pPr>
      <w:r>
        <w:t>Bientôt disponible</w:t>
      </w:r>
    </w:p>
    <w:p w14:paraId="60BE1F74" w14:textId="4859E89A" w:rsidR="00E11911" w:rsidRDefault="00E11911" w:rsidP="00447795">
      <w:pPr>
        <w:pStyle w:val="AAA-MatnAsli"/>
        <w:rPr>
          <w:rtl/>
        </w:rPr>
      </w:pPr>
      <w:r w:rsidRPr="00447795">
        <w:rPr>
          <w:rFonts w:hint="cs"/>
          <w:rtl/>
        </w:rPr>
        <w:t xml:space="preserve">در بحث مربوط به تست اشباع </w:t>
      </w:r>
      <w:r w:rsidR="00AF0CDE" w:rsidRPr="00447795">
        <w:rPr>
          <w:rFonts w:hint="cs"/>
          <w:rtl/>
        </w:rPr>
        <w:t xml:space="preserve">ابتدا </w:t>
      </w:r>
      <w:r w:rsidRPr="00447795">
        <w:rPr>
          <w:rFonts w:hint="cs"/>
          <w:rtl/>
        </w:rPr>
        <w:t>برخی موضوعات مهم و مفید در تحلیل رفتار ترانسفورماتورها شامل مدار معادل و برخ</w:t>
      </w:r>
      <w:r w:rsidR="00392E8E" w:rsidRPr="00447795">
        <w:rPr>
          <w:rFonts w:hint="cs"/>
          <w:rtl/>
        </w:rPr>
        <w:t xml:space="preserve">ی تحلیل‌های الکتریکی و مغناطیسی </w:t>
      </w:r>
      <w:r w:rsidR="00982DDB" w:rsidRPr="00447795">
        <w:rPr>
          <w:rFonts w:hint="cs"/>
          <w:rtl/>
        </w:rPr>
        <w:t xml:space="preserve">مرور </w:t>
      </w:r>
      <w:r w:rsidRPr="00447795">
        <w:rPr>
          <w:rFonts w:hint="cs"/>
          <w:rtl/>
        </w:rPr>
        <w:t xml:space="preserve">می‌شود. مدار معادل ترانسفورماتور به صورتی است که در شکل می‌بینید. در این مدار، </w:t>
      </w:r>
      <w:r w:rsidR="003D126C" w:rsidRPr="00447795">
        <w:rPr>
          <w:rFonts w:cs="Calibri" w:hint="cs"/>
          <w:rtl/>
        </w:rPr>
        <w:t>"</w:t>
      </w:r>
      <w:r w:rsidRPr="00447795">
        <w:t>Rp</w:t>
      </w:r>
      <w:r w:rsidR="003D126C" w:rsidRPr="00447795">
        <w:rPr>
          <w:rFonts w:cs="Calibri" w:hint="cs"/>
          <w:rtl/>
        </w:rPr>
        <w:t>"</w:t>
      </w:r>
      <w:r w:rsidR="00933A72" w:rsidRPr="00447795">
        <w:rPr>
          <w:rFonts w:hint="cs"/>
          <w:rtl/>
        </w:rPr>
        <w:t xml:space="preserve"> و </w:t>
      </w:r>
      <w:r w:rsidR="003D126C" w:rsidRPr="00447795">
        <w:rPr>
          <w:rFonts w:cs="Calibri" w:hint="cs"/>
          <w:rtl/>
        </w:rPr>
        <w:t>"</w:t>
      </w:r>
      <w:r w:rsidR="00933A72" w:rsidRPr="00447795">
        <w:t>Rs</w:t>
      </w:r>
      <w:r w:rsidR="003D126C" w:rsidRPr="00447795">
        <w:rPr>
          <w:rFonts w:cs="Calibri" w:hint="cs"/>
          <w:rtl/>
        </w:rPr>
        <w:t>"</w:t>
      </w:r>
      <w:r w:rsidRPr="00447795">
        <w:rPr>
          <w:rFonts w:hint="cs"/>
          <w:rtl/>
        </w:rPr>
        <w:t xml:space="preserve"> مقاومت سیم‌پیچ اولیه</w:t>
      </w:r>
      <w:r w:rsidR="00933A72" w:rsidRPr="00447795">
        <w:rPr>
          <w:rFonts w:hint="cs"/>
          <w:rtl/>
        </w:rPr>
        <w:t xml:space="preserve"> و ثانویه هستند</w:t>
      </w:r>
      <w:r w:rsidRPr="00447795">
        <w:rPr>
          <w:rFonts w:hint="cs"/>
          <w:rtl/>
        </w:rPr>
        <w:t xml:space="preserve"> که به صورت تلفات گرمایی و افزایش دمای سیم‌پیچ بروز پیدا می‌کند. </w:t>
      </w:r>
      <w:r w:rsidR="003D126C" w:rsidRPr="00447795">
        <w:rPr>
          <w:rFonts w:cs="Calibri" w:hint="cs"/>
          <w:rtl/>
        </w:rPr>
        <w:t>"</w:t>
      </w:r>
      <w:r w:rsidRPr="00447795">
        <w:t>Xp</w:t>
      </w:r>
      <w:r w:rsidR="003D126C" w:rsidRPr="00447795">
        <w:rPr>
          <w:rFonts w:cs="Calibri" w:hint="cs"/>
          <w:rtl/>
        </w:rPr>
        <w:t>"</w:t>
      </w:r>
      <w:r w:rsidRPr="00447795">
        <w:rPr>
          <w:rFonts w:hint="cs"/>
          <w:rtl/>
        </w:rPr>
        <w:t xml:space="preserve"> </w:t>
      </w:r>
      <w:r w:rsidR="00933A72" w:rsidRPr="00447795">
        <w:rPr>
          <w:rFonts w:hint="cs"/>
          <w:rtl/>
        </w:rPr>
        <w:t xml:space="preserve">و </w:t>
      </w:r>
      <w:r w:rsidR="003D126C" w:rsidRPr="00447795">
        <w:rPr>
          <w:rFonts w:cs="Calibri" w:hint="cs"/>
          <w:rtl/>
        </w:rPr>
        <w:t>"</w:t>
      </w:r>
      <w:r w:rsidR="00933A72" w:rsidRPr="00447795">
        <w:t>Xs</w:t>
      </w:r>
      <w:r w:rsidR="003D126C" w:rsidRPr="00447795">
        <w:rPr>
          <w:rFonts w:cs="Calibri" w:hint="cs"/>
          <w:rtl/>
        </w:rPr>
        <w:t>"</w:t>
      </w:r>
      <w:r w:rsidR="00933A72" w:rsidRPr="00447795">
        <w:rPr>
          <w:rFonts w:hint="cs"/>
          <w:rtl/>
        </w:rPr>
        <w:t xml:space="preserve"> </w:t>
      </w:r>
      <w:r w:rsidRPr="00447795">
        <w:rPr>
          <w:rFonts w:hint="cs"/>
          <w:rtl/>
        </w:rPr>
        <w:t xml:space="preserve">نشان دهنده بخشی از شار </w:t>
      </w:r>
      <w:r w:rsidR="00392E8E" w:rsidRPr="00447795">
        <w:rPr>
          <w:rFonts w:hint="cs"/>
          <w:rtl/>
        </w:rPr>
        <w:t>هستند</w:t>
      </w:r>
      <w:r w:rsidRPr="00447795">
        <w:rPr>
          <w:rFonts w:hint="cs"/>
          <w:rtl/>
        </w:rPr>
        <w:t xml:space="preserve"> که مسیر خود را از هوا بسته و با ع</w:t>
      </w:r>
      <w:r w:rsidR="00933A72" w:rsidRPr="00447795">
        <w:rPr>
          <w:rFonts w:hint="cs"/>
          <w:rtl/>
        </w:rPr>
        <w:t xml:space="preserve">نوان شار پراکندگی شناخته </w:t>
      </w:r>
      <w:r w:rsidR="00392E8E" w:rsidRPr="00447795">
        <w:rPr>
          <w:rFonts w:hint="cs"/>
          <w:rtl/>
        </w:rPr>
        <w:t>می‌شوند</w:t>
      </w:r>
      <w:r w:rsidRPr="00447795">
        <w:rPr>
          <w:rFonts w:hint="cs"/>
          <w:rtl/>
        </w:rPr>
        <w:t xml:space="preserve">. </w:t>
      </w:r>
    </w:p>
    <w:p w14:paraId="3C3D497E" w14:textId="33CE58D8" w:rsidR="00030DCC" w:rsidRPr="00447795" w:rsidRDefault="00030DCC" w:rsidP="00030DCC">
      <w:pPr>
        <w:pStyle w:val="AAAR-Normal"/>
        <w:jc w:val="left"/>
        <w:rPr>
          <w:rtl/>
        </w:rPr>
      </w:pPr>
      <w:r>
        <w:rPr>
          <w:rtl/>
        </w:rPr>
        <w:t>قر</w:t>
      </w:r>
      <w:r>
        <w:rPr>
          <w:rFonts w:hint="cs"/>
          <w:rtl/>
        </w:rPr>
        <w:t>ی</w:t>
      </w:r>
      <w:r>
        <w:rPr>
          <w:rFonts w:hint="eastAsia"/>
          <w:rtl/>
        </w:rPr>
        <w:t>با</w:t>
      </w:r>
      <w:r>
        <w:rPr>
          <w:rtl/>
        </w:rPr>
        <w:t>...</w:t>
      </w:r>
    </w:p>
    <w:p w14:paraId="78C98220" w14:textId="77777777" w:rsidR="00F07847" w:rsidRPr="005F0C98" w:rsidRDefault="00A8459C" w:rsidP="005F0C98">
      <w:pPr>
        <w:pStyle w:val="AAE-Normal"/>
        <w:rPr>
          <w:rtl/>
        </w:rPr>
      </w:pPr>
      <w:r>
        <w:t xml:space="preserve">Before talking about the </w:t>
      </w:r>
      <w:r w:rsidR="005643D4">
        <w:t>Excitation test</w:t>
      </w:r>
      <w:r>
        <w:t xml:space="preserve">, it is necessary to review some important </w:t>
      </w:r>
      <w:r w:rsidR="00337070">
        <w:t>subjects</w:t>
      </w:r>
      <w:r>
        <w:t xml:space="preserve"> related to analyzing behavior of transformers including equivalent </w:t>
      </w:r>
      <w:r w:rsidRPr="005F0C98">
        <w:t xml:space="preserve">circuit and some electric and electromagnetic analyses. </w:t>
      </w:r>
      <w:r w:rsidR="002B6A43" w:rsidRPr="005F0C98">
        <w:t>You can see a transformer equivalent circuit in the figure. In this circuit, “R</w:t>
      </w:r>
      <w:r w:rsidR="00FE4A04" w:rsidRPr="005F0C98">
        <w:rPr>
          <w:vertAlign w:val="subscript"/>
        </w:rPr>
        <w:t>P</w:t>
      </w:r>
      <w:r w:rsidR="002B6A43" w:rsidRPr="005F0C98">
        <w:t>” and “R</w:t>
      </w:r>
      <w:r w:rsidR="00FE4A04" w:rsidRPr="005F0C98">
        <w:rPr>
          <w:vertAlign w:val="subscript"/>
        </w:rPr>
        <w:t>S</w:t>
      </w:r>
      <w:r w:rsidR="002B6A43" w:rsidRPr="005F0C98">
        <w:t>” refer to the primary and secondary coils</w:t>
      </w:r>
      <w:r w:rsidR="005643D4" w:rsidRPr="005F0C98">
        <w:t xml:space="preserve"> resistance</w:t>
      </w:r>
      <w:r w:rsidR="002B6A43" w:rsidRPr="005F0C98">
        <w:t xml:space="preserve"> respectively which occur as heat loss and increase in the temperature of the coil. </w:t>
      </w:r>
      <w:r w:rsidR="00FE4A04" w:rsidRPr="005F0C98">
        <w:t>“X</w:t>
      </w:r>
      <w:r w:rsidR="00FE4A04" w:rsidRPr="005F0C98">
        <w:rPr>
          <w:vertAlign w:val="subscript"/>
        </w:rPr>
        <w:t>P</w:t>
      </w:r>
      <w:r w:rsidR="00FE4A04" w:rsidRPr="005F0C98">
        <w:t>” and “X</w:t>
      </w:r>
      <w:r w:rsidR="00FE4A04" w:rsidRPr="005F0C98">
        <w:rPr>
          <w:vertAlign w:val="subscript"/>
        </w:rPr>
        <w:t>S</w:t>
      </w:r>
      <w:r w:rsidR="00FE4A04" w:rsidRPr="005F0C98">
        <w:t>”, on the other hand, indicate a part of the flux whose path is through air and is known as “leakage Flux”.</w:t>
      </w:r>
    </w:p>
    <w:p w14:paraId="6591EF6C" w14:textId="144ED48C" w:rsidR="00F07847" w:rsidRDefault="00EE3EBC" w:rsidP="008F54F7">
      <w:pPr>
        <w:pStyle w:val="AAG-Normal"/>
        <w:rPr>
          <w:lang w:val="de-DE"/>
        </w:rPr>
      </w:pPr>
      <w:r w:rsidRPr="005F0C98">
        <w:rPr>
          <w:lang w:val="de-DE"/>
        </w:rPr>
        <w:t>Bevor wir über den Erregungstest sprechen, ist es notwendig, einige wichtige und nützliche Themen im Zusammenhang mit der Analyse des Verhaltens von Transforma</w:t>
      </w:r>
      <w:r w:rsidRPr="00EE3EBC">
        <w:rPr>
          <w:lang w:val="de-DE"/>
        </w:rPr>
        <w:t>toren einschließlich gleichwertiger Schaltung und einiger elektrischer und elektromagnetischer Analysen zu überprüfen. Sie können einen Transformator äquivalenten Schaltkreis in der Abbildung sehen. In diesem Schaltkreis beziehen sich "Rp" und "Rs" auf den Primär- bzw. Sekundärspulenwiderstand, die als Wärmeverlust und Temperaturerhöhung der Spule auftreten. "Xp" und "Xs" hingegen bezeichnen einen Teil des Flusses, dessen Weg von der Luft frei ist und als "Streufluss" bezeichnet wird.</w:t>
      </w:r>
    </w:p>
    <w:p w14:paraId="2F3CB961" w14:textId="23AF77E8" w:rsidR="008F54F7" w:rsidRDefault="007D1C0D" w:rsidP="008F54F7">
      <w:pPr>
        <w:pStyle w:val="AAS-Normal"/>
        <w:rPr>
          <w:lang w:val="de-DE"/>
        </w:rPr>
      </w:pPr>
      <w:r>
        <w:rPr>
          <w:lang w:val="de-DE"/>
        </w:rPr>
        <w:t>.</w:t>
      </w:r>
      <w:r w:rsidRPr="0009263D">
        <w:rPr>
          <w:lang w:val="es-ES"/>
        </w:rPr>
        <w:t xml:space="preserve"> </w:t>
      </w:r>
      <w:r w:rsidRPr="0009263D">
        <w:rPr>
          <w:lang w:val="de-DE"/>
        </w:rPr>
        <w:t>Antes de hablar de la prueba de excitación, es necesario revisar algunos temas importantes relacionados con el análisis del comportamiento de los transformadores, incluyendo el circuito equivalente y algunos análisis eléctricos y electromagnéticos. Puedes ver un circuito equivalente de transformador en la figura. En este circuito, "RP" y "RS" se refieren a la resistencia de las bobinas primaria y secundaria respectivamente, que se producen como pérdida de calor y aumento de la temperatura de la bobina. "XP" y "XS", por otro lado, indican una parte del flujo cuyo recorrido es a través del aire y se conoce como "Flujo de fuga".</w:t>
      </w:r>
    </w:p>
    <w:p w14:paraId="68975A56" w14:textId="66EC640E" w:rsidR="008F54F7" w:rsidRDefault="008F54F7" w:rsidP="008150C8">
      <w:pPr>
        <w:pStyle w:val="AAF-Normal"/>
        <w:rPr>
          <w:rtl/>
          <w:lang w:val="de-DE"/>
        </w:rPr>
      </w:pPr>
      <w:r>
        <w:rPr>
          <w:lang w:val="de-DE"/>
        </w:rPr>
        <w:t>Bientôt disponible</w:t>
      </w:r>
    </w:p>
    <w:p w14:paraId="15C75816" w14:textId="39159745" w:rsidR="008B1BEC" w:rsidRPr="0009253B" w:rsidRDefault="008B1BEC" w:rsidP="008B1BEC">
      <w:pPr>
        <w:pStyle w:val="AAA-Aks"/>
        <w:bidi w:val="0"/>
        <w:rPr>
          <w:lang w:val="de-DE"/>
        </w:rPr>
      </w:pPr>
      <w:r>
        <w:drawing>
          <wp:inline distT="0" distB="0" distL="0" distR="0" wp14:anchorId="0C58F774" wp14:editId="28CB7603">
            <wp:extent cx="2689761" cy="1897323"/>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692464" cy="1899230"/>
                    </a:xfrm>
                    <a:prstGeom prst="rect">
                      <a:avLst/>
                    </a:prstGeom>
                  </pic:spPr>
                </pic:pic>
              </a:graphicData>
            </a:graphic>
          </wp:inline>
        </w:drawing>
      </w:r>
    </w:p>
    <w:p w14:paraId="2A9AEE5C" w14:textId="6C5E9F09" w:rsidR="00E11911" w:rsidRDefault="00E11911" w:rsidP="00447795">
      <w:pPr>
        <w:pStyle w:val="AAA-MatnAsli"/>
        <w:rPr>
          <w:rtl/>
        </w:rPr>
      </w:pPr>
      <w:r w:rsidRPr="00D62B60">
        <w:rPr>
          <w:rtl/>
        </w:rPr>
        <w:t xml:space="preserve">در شاخه موازی، </w:t>
      </w:r>
      <w:r w:rsidR="003D126C">
        <w:rPr>
          <w:rFonts w:cs="Calibri" w:hint="cs"/>
          <w:rtl/>
        </w:rPr>
        <w:t>"</w:t>
      </w:r>
      <w:r w:rsidRPr="00B11550">
        <w:rPr>
          <w:lang w:val="de-DE"/>
        </w:rPr>
        <w:t>Rc</w:t>
      </w:r>
      <w:r w:rsidR="003D126C">
        <w:rPr>
          <w:rFonts w:cs="Calibri" w:hint="cs"/>
          <w:rtl/>
        </w:rPr>
        <w:t>"</w:t>
      </w:r>
      <w:r w:rsidRPr="00D62B60">
        <w:rPr>
          <w:rtl/>
        </w:rPr>
        <w:t xml:space="preserve"> نشان‌دهنده تلفات هسته، شامل تلفات فوکو و هیسترزیس است که به صورت گرم شدن هسته بروز پیدا می‌کند. دلیل موازی بودن </w:t>
      </w:r>
      <w:r w:rsidR="003D126C">
        <w:rPr>
          <w:rFonts w:cs="Calibri" w:hint="cs"/>
          <w:rtl/>
        </w:rPr>
        <w:t>"</w:t>
      </w:r>
      <w:r w:rsidRPr="00B11550">
        <w:rPr>
          <w:lang w:val="de-DE"/>
        </w:rPr>
        <w:t>Rc</w:t>
      </w:r>
      <w:r w:rsidR="003D126C">
        <w:rPr>
          <w:rFonts w:cs="Calibri" w:hint="cs"/>
          <w:rtl/>
        </w:rPr>
        <w:t>"</w:t>
      </w:r>
      <w:r w:rsidRPr="00D62B60">
        <w:rPr>
          <w:rtl/>
        </w:rPr>
        <w:t xml:space="preserve">، متناسب بودن تلفات ناشی از آن با مجذور ولتاژ ورودی است. </w:t>
      </w:r>
      <w:r w:rsidR="003D126C">
        <w:rPr>
          <w:rFonts w:cs="Calibri" w:hint="cs"/>
          <w:rtl/>
        </w:rPr>
        <w:t>"</w:t>
      </w:r>
      <w:r w:rsidRPr="00D62B60">
        <w:t>Xm</w:t>
      </w:r>
      <w:r w:rsidR="003D126C">
        <w:rPr>
          <w:rFonts w:cs="Calibri" w:hint="cs"/>
          <w:rtl/>
        </w:rPr>
        <w:t>"</w:t>
      </w:r>
      <w:r w:rsidRPr="00D62B60">
        <w:rPr>
          <w:rtl/>
        </w:rPr>
        <w:t xml:space="preserve"> هم نشان‌دهنده اندوکتانس مغناطیس کنندگی یا سلف به وجود آمده از سیم‌های پیچیده شده به دور هسته ترانسفورماتور است.</w:t>
      </w:r>
    </w:p>
    <w:p w14:paraId="05081ECD" w14:textId="69BE77DA" w:rsidR="00030DCC" w:rsidRDefault="00030DCC" w:rsidP="00030DCC">
      <w:pPr>
        <w:pStyle w:val="AAAR-Normal"/>
        <w:jc w:val="left"/>
        <w:rPr>
          <w:rtl/>
        </w:rPr>
      </w:pPr>
      <w:r>
        <w:rPr>
          <w:rtl/>
        </w:rPr>
        <w:t>قر</w:t>
      </w:r>
      <w:r>
        <w:rPr>
          <w:rFonts w:hint="cs"/>
          <w:rtl/>
        </w:rPr>
        <w:t>ی</w:t>
      </w:r>
      <w:r>
        <w:rPr>
          <w:rFonts w:hint="eastAsia"/>
          <w:rtl/>
        </w:rPr>
        <w:t>با</w:t>
      </w:r>
      <w:r>
        <w:rPr>
          <w:rtl/>
        </w:rPr>
        <w:t>...</w:t>
      </w:r>
    </w:p>
    <w:p w14:paraId="14B6F706" w14:textId="77777777" w:rsidR="00F07847" w:rsidRDefault="00CC4963" w:rsidP="005F0C98">
      <w:pPr>
        <w:pStyle w:val="AAE-Normal"/>
        <w:rPr>
          <w:lang w:bidi="fa-IR"/>
        </w:rPr>
      </w:pPr>
      <w:r w:rsidRPr="005F0C98">
        <w:t xml:space="preserve">In the parallel branch, “Rc” is the indicator of core loss including eddy current and Hysteresis losses which occur as increase in the temperature of the core. </w:t>
      </w:r>
      <w:r w:rsidR="00493E00" w:rsidRPr="005F0C98">
        <w:rPr>
          <w:lang w:bidi="fa-IR"/>
        </w:rPr>
        <w:t xml:space="preserve"> The reason for parallelism of “R</w:t>
      </w:r>
      <w:r w:rsidR="00FE4A04" w:rsidRPr="005F0C98">
        <w:rPr>
          <w:vertAlign w:val="subscript"/>
          <w:lang w:bidi="fa-IR"/>
        </w:rPr>
        <w:t>C</w:t>
      </w:r>
      <w:r w:rsidR="00493E00" w:rsidRPr="005F0C98">
        <w:rPr>
          <w:lang w:bidi="fa-IR"/>
        </w:rPr>
        <w:t xml:space="preserve">” is that the </w:t>
      </w:r>
      <w:r w:rsidR="003B1153" w:rsidRPr="005F0C98">
        <w:rPr>
          <w:lang w:bidi="fa-IR"/>
        </w:rPr>
        <w:t>losses</w:t>
      </w:r>
      <w:r w:rsidR="00493E00" w:rsidRPr="005F0C98">
        <w:rPr>
          <w:lang w:bidi="fa-IR"/>
        </w:rPr>
        <w:t xml:space="preserve"> caused by it are in accordance with the square of the input voltage. “Xm” indicates magnetizing</w:t>
      </w:r>
      <w:r w:rsidR="00D13B10" w:rsidRPr="005F0C98">
        <w:rPr>
          <w:lang w:bidi="fa-IR"/>
        </w:rPr>
        <w:t xml:space="preserve"> inductance </w:t>
      </w:r>
      <w:r w:rsidR="003B1153" w:rsidRPr="005F0C98">
        <w:rPr>
          <w:lang w:bidi="fa-IR"/>
        </w:rPr>
        <w:t>of</w:t>
      </w:r>
      <w:r w:rsidR="00D13B10" w:rsidRPr="005F0C98">
        <w:rPr>
          <w:lang w:bidi="fa-IR"/>
        </w:rPr>
        <w:t xml:space="preserve"> the wires wrapped around the core of</w:t>
      </w:r>
      <w:r w:rsidR="00D13B10">
        <w:rPr>
          <w:lang w:bidi="fa-IR"/>
        </w:rPr>
        <w:t xml:space="preserve"> the transformer.</w:t>
      </w:r>
    </w:p>
    <w:p w14:paraId="4A2F4C1D" w14:textId="56415290" w:rsidR="00F07847" w:rsidRDefault="00C50458" w:rsidP="008F54F7">
      <w:pPr>
        <w:pStyle w:val="AAG-Normal"/>
        <w:rPr>
          <w:lang w:val="de-DE"/>
        </w:rPr>
      </w:pPr>
      <w:r w:rsidRPr="00C50458">
        <w:rPr>
          <w:lang w:val="de-DE"/>
        </w:rPr>
        <w:t>Im parallelen Zweig ist "Rc" der Indikator für Kernverluste einschließlich Foucault- und Hystereseverluste, die als Anstieg der Kerntemperatur auftreten.</w:t>
      </w:r>
      <w:r w:rsidR="00D32873" w:rsidRPr="00D32873">
        <w:rPr>
          <w:lang w:val="de-DE"/>
        </w:rPr>
        <w:t xml:space="preserve"> Der Grund für die Parallelität von "Rc" ist, dass die von ihm verursachten Verluste mit dem Quadrat der Eingangsspannung übereinstimmen. "Xm" bezeichnet die magnetisierende Induktivität der um den Kern des Transformators gewickelten Drähte.</w:t>
      </w:r>
    </w:p>
    <w:p w14:paraId="23094A49" w14:textId="0F91DB10" w:rsidR="008F54F7" w:rsidRDefault="007D1C0D" w:rsidP="008F54F7">
      <w:pPr>
        <w:pStyle w:val="AAS-Normal"/>
        <w:rPr>
          <w:lang w:val="de-DE"/>
        </w:rPr>
      </w:pPr>
      <w:r>
        <w:rPr>
          <w:lang w:val="de-DE"/>
        </w:rPr>
        <w:t>.</w:t>
      </w:r>
      <w:r w:rsidRPr="0009263D">
        <w:rPr>
          <w:lang w:val="es-ES"/>
        </w:rPr>
        <w:t xml:space="preserve"> </w:t>
      </w:r>
      <w:r w:rsidRPr="0009263D">
        <w:rPr>
          <w:lang w:val="de-DE"/>
        </w:rPr>
        <w:t>En la rama paralela, "Rc" es el indicador de la pérdida del núcleo, incluidas las pérdidas por corrientes de Foucault e histéresis que se producen al aumentar la temperatura del núcleo.  La razón del paralelismo de "RC" es que las pérdidas causadas por él están de acuerdo con el cuadrado del voltaje de entrada. "Xm" indica la inductancia magnetizante de los cables que se enrollan alrededor del núcleo del transformador.</w:t>
      </w:r>
    </w:p>
    <w:p w14:paraId="73829D6E" w14:textId="39F18A65" w:rsidR="008F54F7" w:rsidRDefault="008F54F7" w:rsidP="008150C8">
      <w:pPr>
        <w:pStyle w:val="AAF-Normal"/>
        <w:rPr>
          <w:rtl/>
          <w:lang w:val="de-DE"/>
        </w:rPr>
      </w:pPr>
      <w:r>
        <w:rPr>
          <w:lang w:val="de-DE"/>
        </w:rPr>
        <w:t>Bientôt disponible</w:t>
      </w:r>
    </w:p>
    <w:p w14:paraId="02570715" w14:textId="53674311" w:rsidR="008B1BEC" w:rsidRPr="00C50458" w:rsidRDefault="008B1BEC" w:rsidP="008B1BEC">
      <w:pPr>
        <w:pStyle w:val="AAA-Aks"/>
        <w:bidi w:val="0"/>
        <w:rPr>
          <w:lang w:val="de-DE"/>
        </w:rPr>
      </w:pPr>
      <w:r>
        <w:drawing>
          <wp:inline distT="0" distB="0" distL="0" distR="0" wp14:anchorId="3B84B7FF" wp14:editId="1DD03672">
            <wp:extent cx="2968831" cy="2077241"/>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78836" cy="2084242"/>
                    </a:xfrm>
                    <a:prstGeom prst="rect">
                      <a:avLst/>
                    </a:prstGeom>
                  </pic:spPr>
                </pic:pic>
              </a:graphicData>
            </a:graphic>
          </wp:inline>
        </w:drawing>
      </w:r>
    </w:p>
    <w:p w14:paraId="1387D173" w14:textId="3543058E" w:rsidR="00E11911" w:rsidRDefault="00E11911" w:rsidP="00E11911">
      <w:pPr>
        <w:pStyle w:val="Heading3"/>
        <w:rPr>
          <w:rtl/>
        </w:rPr>
      </w:pPr>
      <w:r>
        <w:rPr>
          <w:rFonts w:hint="cs"/>
          <w:rtl/>
        </w:rPr>
        <w:t>بار کشیدن از ترانسفورماتور و تاثیر آن بر اشباع ترانسفورماتور</w:t>
      </w:r>
    </w:p>
    <w:p w14:paraId="6738F1C0" w14:textId="4FD4825D" w:rsidR="00030DCC" w:rsidRPr="00030DCC" w:rsidRDefault="00030DCC" w:rsidP="00030DCC">
      <w:pPr>
        <w:pStyle w:val="AAAR-Normal"/>
        <w:jc w:val="left"/>
        <w:rPr>
          <w:rtl/>
        </w:rPr>
      </w:pPr>
      <w:r>
        <w:rPr>
          <w:rtl/>
        </w:rPr>
        <w:t>قر</w:t>
      </w:r>
      <w:r>
        <w:rPr>
          <w:rFonts w:hint="cs"/>
          <w:rtl/>
        </w:rPr>
        <w:t>ی</w:t>
      </w:r>
      <w:r>
        <w:rPr>
          <w:rFonts w:hint="eastAsia"/>
          <w:rtl/>
        </w:rPr>
        <w:t>با</w:t>
      </w:r>
      <w:r>
        <w:rPr>
          <w:rtl/>
        </w:rPr>
        <w:t>...</w:t>
      </w:r>
    </w:p>
    <w:p w14:paraId="5C7AE53E" w14:textId="77777777" w:rsidR="00F07847" w:rsidRPr="005F0C98" w:rsidRDefault="00E43A76" w:rsidP="005F0C98">
      <w:pPr>
        <w:pStyle w:val="AAE-Normal"/>
        <w:rPr>
          <w:rtl/>
        </w:rPr>
      </w:pPr>
      <w:r w:rsidRPr="005F0C98">
        <w:t xml:space="preserve">Transformer </w:t>
      </w:r>
      <w:r w:rsidR="008A727D" w:rsidRPr="005F0C98">
        <w:t>Load</w:t>
      </w:r>
      <w:r w:rsidR="002F7556" w:rsidRPr="005F0C98">
        <w:t>ing</w:t>
      </w:r>
      <w:r w:rsidR="008A727D" w:rsidRPr="005F0C98">
        <w:t xml:space="preserve"> </w:t>
      </w:r>
      <w:r w:rsidR="00E1791B" w:rsidRPr="005F0C98">
        <w:t xml:space="preserve">and </w:t>
      </w:r>
      <w:r w:rsidR="008A727D" w:rsidRPr="005F0C98">
        <w:t xml:space="preserve">Its Effect </w:t>
      </w:r>
      <w:r w:rsidR="00E1791B" w:rsidRPr="005F0C98">
        <w:t xml:space="preserve">on </w:t>
      </w:r>
      <w:r w:rsidR="008A727D" w:rsidRPr="005F0C98">
        <w:t>Transformer Saturation</w:t>
      </w:r>
      <w:r w:rsidR="00D13B10" w:rsidRPr="005F0C98">
        <w:t xml:space="preserve"> </w:t>
      </w:r>
    </w:p>
    <w:p w14:paraId="78116EBA" w14:textId="77777777" w:rsidR="00456FC5" w:rsidRPr="00547B73" w:rsidRDefault="00456FC5" w:rsidP="00456FC5">
      <w:pPr>
        <w:pStyle w:val="AAG-Normal"/>
        <w:rPr>
          <w:lang w:val="de-DE"/>
        </w:rPr>
      </w:pPr>
      <w:r w:rsidRPr="00980A09">
        <w:rPr>
          <w:lang w:val="de-DE"/>
        </w:rPr>
        <w:t>Belastung und ihre Auswirkungen auf die Sättigung des Wandlers</w:t>
      </w:r>
    </w:p>
    <w:p w14:paraId="6E5E523D" w14:textId="3C9A99BE" w:rsidR="008F54F7" w:rsidRDefault="007D1C0D" w:rsidP="008F54F7">
      <w:pPr>
        <w:pStyle w:val="AAS-Normal"/>
        <w:rPr>
          <w:lang w:val="es-ES"/>
        </w:rPr>
      </w:pPr>
      <w:r w:rsidRPr="0009263D">
        <w:rPr>
          <w:lang w:val="es-ES"/>
        </w:rPr>
        <w:t>. Carga del transformador y su efecto en la saturación del transformador</w:t>
      </w:r>
    </w:p>
    <w:p w14:paraId="2FEA108C" w14:textId="418995B7" w:rsidR="008F54F7" w:rsidRPr="00F07847" w:rsidRDefault="008F54F7" w:rsidP="008150C8">
      <w:pPr>
        <w:pStyle w:val="AAF-Normal"/>
        <w:rPr>
          <w:rtl/>
        </w:rPr>
      </w:pPr>
      <w:r>
        <w:t>Bientôt disponible</w:t>
      </w:r>
    </w:p>
    <w:p w14:paraId="71681BC9" w14:textId="09C24B42" w:rsidR="00883E75" w:rsidRDefault="00883E75" w:rsidP="00447795">
      <w:pPr>
        <w:pStyle w:val="AAA-MatnAsli"/>
        <w:rPr>
          <w:rtl/>
        </w:rPr>
      </w:pPr>
      <w:r w:rsidRPr="00D62B60">
        <w:rPr>
          <w:rFonts w:hint="cs"/>
          <w:rtl/>
        </w:rPr>
        <w:t xml:space="preserve">وقتی از ترانس بار کشیده می‌شود، این بار باعث </w:t>
      </w:r>
      <w:r w:rsidR="00933A72">
        <w:rPr>
          <w:rFonts w:hint="cs"/>
          <w:rtl/>
        </w:rPr>
        <w:t>افزایش</w:t>
      </w:r>
      <w:r w:rsidRPr="00D62B60">
        <w:rPr>
          <w:rFonts w:hint="cs"/>
          <w:rtl/>
        </w:rPr>
        <w:t xml:space="preserve"> جریان ثانویه می‌شود. با افزایش جریان ثانویه، شار ناشی از سیم‌پیچ ثانویه افزایش می‌یابد. </w:t>
      </w:r>
      <w:r w:rsidR="00473018">
        <w:rPr>
          <w:rFonts w:hint="cs"/>
          <w:rtl/>
        </w:rPr>
        <w:t>همچنین با افزایش جریان ثانویه جریان اولیه هم افزایش می‌یابد، با افزایش این جریان</w:t>
      </w:r>
      <w:r w:rsidR="00982DDB">
        <w:rPr>
          <w:rFonts w:hint="cs"/>
          <w:rtl/>
        </w:rPr>
        <w:t xml:space="preserve">، </w:t>
      </w:r>
      <w:r w:rsidR="00473018">
        <w:rPr>
          <w:rFonts w:hint="cs"/>
          <w:rtl/>
        </w:rPr>
        <w:t xml:space="preserve">شار سمت اولیه هم افزایش می‌یابد. </w:t>
      </w:r>
      <w:r w:rsidR="00E1791B">
        <w:rPr>
          <w:rFonts w:hint="cs"/>
          <w:rtl/>
        </w:rPr>
        <w:t xml:space="preserve">اما </w:t>
      </w:r>
      <w:r w:rsidR="00A04AA9">
        <w:rPr>
          <w:rFonts w:hint="cs"/>
          <w:rtl/>
        </w:rPr>
        <w:t>با توجه به اینکه تغییرات جریان سمت ثانویه بیشتر از اولیه است، شار سمت ثانویه بیشتر از اولیه خواهد بود.</w:t>
      </w:r>
      <w:r w:rsidR="00E1791B">
        <w:rPr>
          <w:rFonts w:hint="cs"/>
          <w:rtl/>
        </w:rPr>
        <w:t xml:space="preserve"> </w:t>
      </w:r>
      <w:r w:rsidR="00A04AA9">
        <w:rPr>
          <w:rFonts w:hint="cs"/>
          <w:rtl/>
        </w:rPr>
        <w:t xml:space="preserve">با توجه به </w:t>
      </w:r>
      <w:r w:rsidRPr="00D62B60">
        <w:rPr>
          <w:rFonts w:hint="cs"/>
          <w:rtl/>
        </w:rPr>
        <w:t>تاثیرگذاری خلاف جهت این دو در شار معادل هسته ترانس،</w:t>
      </w:r>
      <w:r w:rsidR="00035D35">
        <w:rPr>
          <w:rFonts w:hint="cs"/>
          <w:rtl/>
        </w:rPr>
        <w:t xml:space="preserve"> </w:t>
      </w:r>
      <w:r w:rsidR="00A04AA9">
        <w:rPr>
          <w:rFonts w:hint="cs"/>
          <w:rtl/>
        </w:rPr>
        <w:t xml:space="preserve">شار ترانسفورماتور </w:t>
      </w:r>
      <w:r w:rsidRPr="00D62B60">
        <w:rPr>
          <w:rFonts w:hint="cs"/>
          <w:rtl/>
        </w:rPr>
        <w:t>کاهش می‌یابد.</w:t>
      </w:r>
    </w:p>
    <w:p w14:paraId="7DCDE908" w14:textId="578686B1" w:rsidR="00030DCC" w:rsidRDefault="00030DCC" w:rsidP="00030DCC">
      <w:pPr>
        <w:pStyle w:val="AAAR-Normal"/>
        <w:jc w:val="left"/>
        <w:rPr>
          <w:rtl/>
        </w:rPr>
      </w:pPr>
      <w:r>
        <w:rPr>
          <w:rtl/>
        </w:rPr>
        <w:t>قر</w:t>
      </w:r>
      <w:r>
        <w:rPr>
          <w:rFonts w:hint="cs"/>
          <w:rtl/>
        </w:rPr>
        <w:t>ی</w:t>
      </w:r>
      <w:r>
        <w:rPr>
          <w:rFonts w:hint="eastAsia"/>
          <w:rtl/>
        </w:rPr>
        <w:t>با</w:t>
      </w:r>
      <w:r>
        <w:rPr>
          <w:rtl/>
        </w:rPr>
        <w:t>...</w:t>
      </w:r>
    </w:p>
    <w:p w14:paraId="41FEE947" w14:textId="77777777" w:rsidR="00F07847" w:rsidRDefault="00CF1E8B" w:rsidP="005F0C98">
      <w:pPr>
        <w:pStyle w:val="AAE-Normal"/>
        <w:rPr>
          <w:rtl/>
        </w:rPr>
      </w:pPr>
      <w:r w:rsidRPr="005F0C98">
        <w:t xml:space="preserve">When </w:t>
      </w:r>
      <w:r w:rsidR="002F7556" w:rsidRPr="005F0C98">
        <w:t>the transformer is put “on-load”</w:t>
      </w:r>
      <w:r w:rsidRPr="005F0C98">
        <w:t xml:space="preserve">, </w:t>
      </w:r>
      <w:r w:rsidR="00982DDB" w:rsidRPr="005F0C98">
        <w:t xml:space="preserve">it </w:t>
      </w:r>
      <w:r w:rsidR="000F08DA" w:rsidRPr="005F0C98">
        <w:t xml:space="preserve">causes the secondary current to increase. When </w:t>
      </w:r>
      <w:r w:rsidR="00982DDB" w:rsidRPr="005F0C98">
        <w:t>it happens</w:t>
      </w:r>
      <w:r w:rsidR="000F08DA" w:rsidRPr="005F0C98">
        <w:t xml:space="preserve">, the flux caused by the secondary coil increases as well. </w:t>
      </w:r>
      <w:r w:rsidR="00990B5F" w:rsidRPr="005F0C98">
        <w:t>Also, after the secondary current increases, the pri</w:t>
      </w:r>
      <w:r w:rsidR="00FF4F3A" w:rsidRPr="005F0C98">
        <w:t xml:space="preserve">mary current increases as well which leads to an increase in the flux of the primary side. </w:t>
      </w:r>
      <w:r w:rsidR="00AB0FA4" w:rsidRPr="005F0C98">
        <w:t>But since the changes in the secondary side current are bigger, the flux of the</w:t>
      </w:r>
      <w:r w:rsidR="00AB0FA4">
        <w:t xml:space="preserve"> secondary side will be more than the primary side. Because of the influence of the opposite side of these two in the equivalent flux of the transformer core, the flux of the transformer decreases.</w:t>
      </w:r>
    </w:p>
    <w:p w14:paraId="6B481AFD" w14:textId="2DA0D5ED" w:rsidR="00F07847" w:rsidRDefault="009068A0" w:rsidP="008F54F7">
      <w:pPr>
        <w:pStyle w:val="AAG-Normal"/>
        <w:rPr>
          <w:lang w:val="de-DE"/>
        </w:rPr>
      </w:pPr>
      <w:r w:rsidRPr="009068A0">
        <w:rPr>
          <w:lang w:val="de-DE"/>
        </w:rPr>
        <w:t>Wenn der Transformator "auf Last" gesetzt wird, erhöht sich der Sekundärstrom. Wenn es passiert, erhöht sich auch der Fluss, der durch die Sekundärspule verursacht wird. Auch, nachdem der Sekundärstrom zunimmt, erhöht sich auch der Primärstrom, was zu einer Erhöhung des Flusses der primären Seite führt.</w:t>
      </w:r>
      <w:r w:rsidR="0083141F" w:rsidRPr="0083141F">
        <w:rPr>
          <w:lang w:val="de-DE"/>
        </w:rPr>
        <w:t xml:space="preserve"> Da jedoch die Veränderungen im Sekundärseitenstrom größer sind, wird der Fluss der Sekundärseite größer sein als die primäre Seite. Durch den Einfluss der gegenüberliegenden Seite dieser beiden auf den äquivalenten Fluss des Transformatorkerns nimmt der Fluss des Transformators ab.</w:t>
      </w:r>
    </w:p>
    <w:p w14:paraId="0E3BA22B" w14:textId="1C09E87F" w:rsidR="008F54F7" w:rsidRDefault="007D1C0D" w:rsidP="008F54F7">
      <w:pPr>
        <w:pStyle w:val="AAS-Normal"/>
        <w:rPr>
          <w:lang w:val="de-DE"/>
        </w:rPr>
      </w:pPr>
      <w:r>
        <w:rPr>
          <w:lang w:val="de-DE"/>
        </w:rPr>
        <w:t>.</w:t>
      </w:r>
      <w:r w:rsidRPr="0009263D">
        <w:rPr>
          <w:lang w:val="es-ES"/>
        </w:rPr>
        <w:t xml:space="preserve"> </w:t>
      </w:r>
      <w:r w:rsidRPr="0009263D">
        <w:rPr>
          <w:lang w:val="de-DE"/>
        </w:rPr>
        <w:t>Cuando el transformador se pone "en carga", hace que la corriente secundaria aumente. Cuando esto ocurre, el flujo causado por la bobina secundaria también aumenta. También, después de que la corriente secundaria aumenta, la corriente primaria aumenta también lo que lleva a un aumento del flujo del lado primario. Pero como los cambios en la corriente del lado secundario son mayores, el flujo del lado secundario será mayor que el del lado primario. Debido a la influencia del lado opuesto de estos dos en el flujo equivalente del núcleo del transformador, el flujo del transformador disminuye.</w:t>
      </w:r>
    </w:p>
    <w:p w14:paraId="77DB286C" w14:textId="57C57D4B" w:rsidR="008F54F7" w:rsidRDefault="008F54F7" w:rsidP="008150C8">
      <w:pPr>
        <w:pStyle w:val="AAF-Normal"/>
        <w:rPr>
          <w:rtl/>
          <w:lang w:val="de-DE"/>
        </w:rPr>
      </w:pPr>
      <w:r>
        <w:rPr>
          <w:lang w:val="de-DE"/>
        </w:rPr>
        <w:t>Bientôt disponible</w:t>
      </w:r>
    </w:p>
    <w:p w14:paraId="4E6483D5" w14:textId="2BB11C3D" w:rsidR="008B1BEC" w:rsidRPr="009068A0" w:rsidRDefault="008B1BEC" w:rsidP="008B1BEC">
      <w:pPr>
        <w:pStyle w:val="AAA-Aks"/>
        <w:bidi w:val="0"/>
        <w:rPr>
          <w:lang w:val="de-DE"/>
        </w:rPr>
      </w:pPr>
      <w:r>
        <w:drawing>
          <wp:inline distT="0" distB="0" distL="0" distR="0" wp14:anchorId="4495256E" wp14:editId="1089623E">
            <wp:extent cx="2519144" cy="196536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25976" cy="1970696"/>
                    </a:xfrm>
                    <a:prstGeom prst="rect">
                      <a:avLst/>
                    </a:prstGeom>
                  </pic:spPr>
                </pic:pic>
              </a:graphicData>
            </a:graphic>
          </wp:inline>
        </w:drawing>
      </w:r>
    </w:p>
    <w:p w14:paraId="48403FB7" w14:textId="6A0C65C0" w:rsidR="00883E75" w:rsidRDefault="00031BF5" w:rsidP="00447795">
      <w:pPr>
        <w:pStyle w:val="AAA-MatnAsli"/>
        <w:rPr>
          <w:rtl/>
        </w:rPr>
      </w:pPr>
      <w:r>
        <w:rPr>
          <w:rFonts w:hint="cs"/>
          <w:rtl/>
        </w:rPr>
        <w:t xml:space="preserve">در </w:t>
      </w:r>
      <w:r w:rsidR="00883E75" w:rsidRPr="00D62B60">
        <w:rPr>
          <w:rFonts w:hint="cs"/>
          <w:rtl/>
        </w:rPr>
        <w:t xml:space="preserve">نتیجه: با افزایش جریان کشیده </w:t>
      </w:r>
      <w:r w:rsidR="00D55245">
        <w:rPr>
          <w:rFonts w:hint="cs"/>
          <w:rtl/>
        </w:rPr>
        <w:t xml:space="preserve">شده </w:t>
      </w:r>
      <w:r w:rsidR="00883E75" w:rsidRPr="00D62B60">
        <w:rPr>
          <w:rFonts w:hint="cs"/>
          <w:rtl/>
        </w:rPr>
        <w:t xml:space="preserve">از ترمینال‌های ترانسفورماتور قدرت، هسته از ناحیه اشباع دور می‌شود. با این توصیف در بار کامل می‌توان از هسته کوچک برای ترانسفورماتور استفاده کرد، اما چون ترانس همیشه در بار نامی استفاده نمی‌شود، با کوچک کردن هسته، کاهش بار منجر به اشباع ترانس می‌شود، بنابراین برای جلوگیری از اشباع ترانس در </w:t>
      </w:r>
      <w:r w:rsidR="00035D35">
        <w:rPr>
          <w:rFonts w:hint="cs"/>
          <w:rtl/>
        </w:rPr>
        <w:t>کم‌باری</w:t>
      </w:r>
      <w:r w:rsidR="00883E75" w:rsidRPr="00D62B60">
        <w:rPr>
          <w:rFonts w:hint="cs"/>
          <w:rtl/>
        </w:rPr>
        <w:t xml:space="preserve"> و خارج شدن شکل موج از حالت سینوسی، نیاز است که هسته ترانس بزرگ شود.</w:t>
      </w:r>
    </w:p>
    <w:p w14:paraId="78A85562" w14:textId="65506651" w:rsidR="00030DCC" w:rsidRDefault="00030DCC" w:rsidP="00030DCC">
      <w:pPr>
        <w:pStyle w:val="AAAR-Normal"/>
        <w:jc w:val="left"/>
        <w:rPr>
          <w:rtl/>
        </w:rPr>
      </w:pPr>
      <w:r>
        <w:rPr>
          <w:rtl/>
        </w:rPr>
        <w:t>قر</w:t>
      </w:r>
      <w:r>
        <w:rPr>
          <w:rFonts w:hint="cs"/>
          <w:rtl/>
        </w:rPr>
        <w:t>ی</w:t>
      </w:r>
      <w:r>
        <w:rPr>
          <w:rFonts w:hint="eastAsia"/>
          <w:rtl/>
        </w:rPr>
        <w:t>با</w:t>
      </w:r>
      <w:r>
        <w:rPr>
          <w:rtl/>
        </w:rPr>
        <w:t>...</w:t>
      </w:r>
    </w:p>
    <w:p w14:paraId="63D92738" w14:textId="77777777" w:rsidR="00F07847" w:rsidRPr="005F0C98" w:rsidRDefault="00DC01E7" w:rsidP="005F0C98">
      <w:pPr>
        <w:pStyle w:val="AAE-Normal"/>
        <w:rPr>
          <w:rtl/>
        </w:rPr>
      </w:pPr>
      <w:r>
        <w:t xml:space="preserve">As a result, while the </w:t>
      </w:r>
      <w:r w:rsidR="003B1153">
        <w:t>load</w:t>
      </w:r>
      <w:r>
        <w:t xml:space="preserve"> drawn from the terminals of the power transformer </w:t>
      </w:r>
      <w:r w:rsidRPr="005F0C98">
        <w:t xml:space="preserve">increases, the core </w:t>
      </w:r>
      <w:r w:rsidR="00F114B9" w:rsidRPr="005F0C98">
        <w:t xml:space="preserve">recedes from the saturation area. Therefore, </w:t>
      </w:r>
      <w:r w:rsidR="00FD19D8" w:rsidRPr="005F0C98">
        <w:t>in full</w:t>
      </w:r>
      <w:r w:rsidR="003B1153" w:rsidRPr="005F0C98">
        <w:t>-load</w:t>
      </w:r>
      <w:r w:rsidR="00FD19D8" w:rsidRPr="005F0C98">
        <w:t xml:space="preserve"> it is possible to use a small core for the transformer</w:t>
      </w:r>
      <w:r w:rsidR="00FB34D9" w:rsidRPr="005F0C98">
        <w:t>,</w:t>
      </w:r>
      <w:r w:rsidR="00FD19D8" w:rsidRPr="005F0C98">
        <w:t xml:space="preserve"> but since transformer is not always used in nominal </w:t>
      </w:r>
      <w:r w:rsidR="003B1153" w:rsidRPr="005F0C98">
        <w:t>load</w:t>
      </w:r>
      <w:r w:rsidR="00FD19D8" w:rsidRPr="005F0C98">
        <w:t xml:space="preserve">, by </w:t>
      </w:r>
      <w:r w:rsidR="0030519F" w:rsidRPr="005F0C98">
        <w:t>reducing</w:t>
      </w:r>
      <w:r w:rsidR="00FD19D8" w:rsidRPr="005F0C98">
        <w:t xml:space="preserve"> the core, the decrease in the </w:t>
      </w:r>
      <w:r w:rsidR="003B1153" w:rsidRPr="005F0C98">
        <w:t>load,</w:t>
      </w:r>
      <w:r w:rsidR="00FD19D8" w:rsidRPr="005F0C98">
        <w:t xml:space="preserve"> leads to the saturation of transformer. </w:t>
      </w:r>
      <w:r w:rsidR="003203E8" w:rsidRPr="005F0C98">
        <w:t>Therefore,</w:t>
      </w:r>
      <w:r w:rsidR="00FD19D8" w:rsidRPr="005F0C98">
        <w:t xml:space="preserve"> to avoid transformer saturation in </w:t>
      </w:r>
      <w:r w:rsidR="003B1153" w:rsidRPr="005F0C98">
        <w:t>light</w:t>
      </w:r>
      <w:r w:rsidR="00FD19D8" w:rsidRPr="005F0C98">
        <w:t xml:space="preserve"> </w:t>
      </w:r>
      <w:r w:rsidR="003B1153" w:rsidRPr="005F0C98">
        <w:t>load</w:t>
      </w:r>
      <w:r w:rsidR="00FD19D8" w:rsidRPr="005F0C98">
        <w:t xml:space="preserve"> and change the waveform from sine wave, it is necessary to extend the transformer core.</w:t>
      </w:r>
    </w:p>
    <w:p w14:paraId="1CC28416" w14:textId="67E97EA3" w:rsidR="00F07847" w:rsidRDefault="003203E8" w:rsidP="008F54F7">
      <w:pPr>
        <w:pStyle w:val="AAG-Normal"/>
        <w:rPr>
          <w:lang w:val="de-DE"/>
        </w:rPr>
      </w:pPr>
      <w:r w:rsidRPr="003203E8">
        <w:rPr>
          <w:lang w:val="de-DE"/>
        </w:rPr>
        <w:t>Während die Last aus den Klemmen des Leistungstransformators steigt, steigt der Kern aus dem Sättigungsbereich. Daher ist es bei Volllast möglich, einen kleinen Kern für den Transformator zu verwenden, aber da Transformator nicht immer in Derinnomlast verwendet wird, durch die Reduzierung des Kerns, die Verringerung der Last, führt zur Sättigung des Transformators. Um eine Transformatorsättigung bei leichter Last zu vermeiden und die Wellenform von der Sinuswelle zu ändern, ist es daher notwendig, den Transformatorkern zu erweitern.</w:t>
      </w:r>
    </w:p>
    <w:p w14:paraId="03AC28EE" w14:textId="780A58C5" w:rsidR="008F54F7" w:rsidRDefault="007D1C0D" w:rsidP="008F54F7">
      <w:pPr>
        <w:pStyle w:val="AAS-Normal"/>
        <w:rPr>
          <w:lang w:val="de-DE"/>
        </w:rPr>
      </w:pPr>
      <w:r>
        <w:rPr>
          <w:lang w:val="de-DE"/>
        </w:rPr>
        <w:t>.</w:t>
      </w:r>
      <w:r w:rsidRPr="0009263D">
        <w:rPr>
          <w:lang w:val="es-ES"/>
        </w:rPr>
        <w:t xml:space="preserve"> </w:t>
      </w:r>
      <w:r w:rsidRPr="0009263D">
        <w:rPr>
          <w:lang w:val="de-DE"/>
        </w:rPr>
        <w:t>Como resultado, mientras que la carga extraída de los terminales del transformador de potencia aumenta, el núcleo se aleja de la zona de saturación. Por lo tanto, en carga completa es posible utilizar un pequeño núcleo para el transformador, pero como el transformador no siempre se utiliza en carga nominal, al reducir el núcleo, la disminución de la carga, lleva a la saturación del transformador. Por lo tanto, para evitar la saturación del transformador en carga ligera y cambiar la forma de onda de la onda sinusoidal, es necesario ampliar el núcleo del transformador.</w:t>
      </w:r>
    </w:p>
    <w:p w14:paraId="082AF862" w14:textId="73876E56" w:rsidR="008F54F7" w:rsidRPr="003203E8" w:rsidRDefault="008F54F7" w:rsidP="008150C8">
      <w:pPr>
        <w:pStyle w:val="AAF-Normal"/>
        <w:rPr>
          <w:lang w:val="de-DE"/>
        </w:rPr>
      </w:pPr>
      <w:r>
        <w:rPr>
          <w:lang w:val="de-DE"/>
        </w:rPr>
        <w:t>Bientôt disponible</w:t>
      </w:r>
    </w:p>
    <w:p w14:paraId="6D51F351" w14:textId="431943FA" w:rsidR="00415C22" w:rsidRDefault="00F375E5" w:rsidP="002535A6">
      <w:pPr>
        <w:pStyle w:val="Heading3"/>
        <w:numPr>
          <w:ilvl w:val="2"/>
          <w:numId w:val="5"/>
        </w:numPr>
        <w:rPr>
          <w:rFonts w:cs="Calibri"/>
          <w:rtl/>
        </w:rPr>
      </w:pPr>
      <w:r>
        <w:rPr>
          <w:rFonts w:hint="cs"/>
          <w:rtl/>
        </w:rPr>
        <w:t xml:space="preserve">منحنی اشباع </w:t>
      </w:r>
      <w:r w:rsidR="003D126C">
        <w:rPr>
          <w:rFonts w:cs="Calibri" w:hint="cs"/>
          <w:rtl/>
        </w:rPr>
        <w:t>"</w:t>
      </w:r>
      <w:r>
        <w:t>CT</w:t>
      </w:r>
      <w:r w:rsidR="003D126C">
        <w:rPr>
          <w:rFonts w:cs="Calibri" w:hint="cs"/>
          <w:rtl/>
        </w:rPr>
        <w:t>"</w:t>
      </w:r>
    </w:p>
    <w:p w14:paraId="3B519A66" w14:textId="74DE465B" w:rsidR="00030DCC" w:rsidRPr="00030DCC" w:rsidRDefault="00030DCC" w:rsidP="00030DCC">
      <w:pPr>
        <w:pStyle w:val="AAAR-Normal"/>
        <w:jc w:val="left"/>
        <w:rPr>
          <w:rtl/>
        </w:rPr>
      </w:pPr>
      <w:r>
        <w:rPr>
          <w:rtl/>
        </w:rPr>
        <w:t>قر</w:t>
      </w:r>
      <w:r>
        <w:rPr>
          <w:rFonts w:hint="cs"/>
          <w:rtl/>
        </w:rPr>
        <w:t>ی</w:t>
      </w:r>
      <w:r>
        <w:rPr>
          <w:rFonts w:hint="eastAsia"/>
          <w:rtl/>
        </w:rPr>
        <w:t>با</w:t>
      </w:r>
      <w:r>
        <w:rPr>
          <w:rtl/>
        </w:rPr>
        <w:t>...</w:t>
      </w:r>
    </w:p>
    <w:p w14:paraId="7BF05485" w14:textId="77777777" w:rsidR="00F07847" w:rsidRPr="00CC4963" w:rsidRDefault="0083141F" w:rsidP="005F0C98">
      <w:pPr>
        <w:pStyle w:val="AAE-Normal"/>
        <w:rPr>
          <w:rtl/>
        </w:rPr>
      </w:pPr>
      <w:r w:rsidRPr="005F0C98">
        <w:t xml:space="preserve">CT </w:t>
      </w:r>
      <w:r w:rsidR="00CC4963" w:rsidRPr="005F0C98">
        <w:t>Saturation Curve</w:t>
      </w:r>
      <w:r w:rsidR="00D13B10" w:rsidRPr="00CC4963">
        <w:t xml:space="preserve"> </w:t>
      </w:r>
    </w:p>
    <w:p w14:paraId="4DE77A50" w14:textId="74ED9124" w:rsidR="00F07847" w:rsidRDefault="0083141F" w:rsidP="008F54F7">
      <w:pPr>
        <w:pStyle w:val="AAG-Normal"/>
        <w:rPr>
          <w:lang w:val="de-DE"/>
        </w:rPr>
      </w:pPr>
      <w:r w:rsidRPr="0083141F">
        <w:rPr>
          <w:lang w:val="de-DE"/>
        </w:rPr>
        <w:t xml:space="preserve">I-Wdl </w:t>
      </w:r>
      <w:r>
        <w:rPr>
          <w:lang w:val="de-DE"/>
        </w:rPr>
        <w:t>Magnetisierungskennlinie</w:t>
      </w:r>
    </w:p>
    <w:p w14:paraId="58E61AE5" w14:textId="47BBFB0C" w:rsidR="008F54F7" w:rsidRDefault="007D1C0D" w:rsidP="008F54F7">
      <w:pPr>
        <w:pStyle w:val="AAS-Normal"/>
        <w:rPr>
          <w:lang w:val="de-DE"/>
        </w:rPr>
      </w:pPr>
      <w:r>
        <w:rPr>
          <w:lang w:val="de-DE"/>
        </w:rPr>
        <w:t>.</w:t>
      </w:r>
      <w:r w:rsidRPr="0009263D">
        <w:rPr>
          <w:lang w:val="es-ES"/>
        </w:rPr>
        <w:t xml:space="preserve"> </w:t>
      </w:r>
      <w:r w:rsidRPr="0009263D">
        <w:rPr>
          <w:lang w:val="de-DE"/>
        </w:rPr>
        <w:t>Curva de saturación de la TC</w:t>
      </w:r>
      <w:r>
        <w:rPr>
          <w:lang w:val="de-DE"/>
        </w:rPr>
        <w:t xml:space="preserve"> ( CT )</w:t>
      </w:r>
    </w:p>
    <w:p w14:paraId="1A20B21C" w14:textId="735D9351" w:rsidR="008F54F7" w:rsidRPr="00F07847" w:rsidRDefault="008F54F7" w:rsidP="008150C8">
      <w:pPr>
        <w:pStyle w:val="AAF-Normal"/>
        <w:rPr>
          <w:rtl/>
        </w:rPr>
      </w:pPr>
      <w:r>
        <w:t>Bientôt disponible</w:t>
      </w:r>
    </w:p>
    <w:p w14:paraId="444C1C9D" w14:textId="31711D57" w:rsidR="00415C22" w:rsidRDefault="00415C22" w:rsidP="00447795">
      <w:pPr>
        <w:pStyle w:val="AAA-MatnAsli"/>
        <w:rPr>
          <w:rtl/>
        </w:rPr>
      </w:pPr>
      <w:r w:rsidRPr="00430D3E">
        <w:rPr>
          <w:rFonts w:hint="cs"/>
          <w:rtl/>
        </w:rPr>
        <w:t xml:space="preserve">در </w:t>
      </w:r>
      <w:r w:rsidRPr="005F0C98">
        <w:rPr>
          <w:rFonts w:hint="cs"/>
          <w:rtl/>
        </w:rPr>
        <w:t>ترانس قدرت گفته شد با افزایش جریان</w:t>
      </w:r>
      <w:r w:rsidR="003203E8" w:rsidRPr="005F0C98">
        <w:rPr>
          <w:rFonts w:hint="cs"/>
          <w:rtl/>
        </w:rPr>
        <w:t>،</w:t>
      </w:r>
      <w:r w:rsidRPr="005F0C98">
        <w:rPr>
          <w:rFonts w:hint="cs"/>
          <w:rtl/>
        </w:rPr>
        <w:t xml:space="preserve"> ترانس از اش</w:t>
      </w:r>
      <w:r w:rsidR="00F375E5" w:rsidRPr="005F0C98">
        <w:rPr>
          <w:rFonts w:hint="cs"/>
          <w:rtl/>
        </w:rPr>
        <w:t>باع فاصله می‌گیرد. اما در ترانس</w:t>
      </w:r>
      <w:r w:rsidR="00811423" w:rsidRPr="005F0C98">
        <w:rPr>
          <w:rFonts w:hint="cs"/>
          <w:rtl/>
        </w:rPr>
        <w:t xml:space="preserve"> جریان</w:t>
      </w:r>
      <w:r w:rsidRPr="005F0C98">
        <w:rPr>
          <w:rFonts w:hint="cs"/>
          <w:rtl/>
        </w:rPr>
        <w:t>، با افزایش جریان</w:t>
      </w:r>
      <w:r w:rsidR="00F375E5" w:rsidRPr="005F0C98">
        <w:rPr>
          <w:rFonts w:hint="cs"/>
          <w:rtl/>
        </w:rPr>
        <w:t>،</w:t>
      </w:r>
      <w:r w:rsidRPr="005F0C98">
        <w:rPr>
          <w:rFonts w:hint="cs"/>
          <w:rtl/>
        </w:rPr>
        <w:t xml:space="preserve"> </w:t>
      </w:r>
      <w:r w:rsidR="003D126C" w:rsidRPr="005F0C98">
        <w:rPr>
          <w:rFonts w:cs="Calibri" w:hint="cs"/>
          <w:rtl/>
        </w:rPr>
        <w:t>"</w:t>
      </w:r>
      <w:r w:rsidRPr="005F0C98">
        <w:t>CT</w:t>
      </w:r>
      <w:r w:rsidR="003D126C" w:rsidRPr="005F0C98">
        <w:rPr>
          <w:rFonts w:cs="Calibri" w:hint="cs"/>
          <w:rtl/>
        </w:rPr>
        <w:t>"</w:t>
      </w:r>
      <w:r w:rsidRPr="005F0C98">
        <w:rPr>
          <w:rFonts w:hint="cs"/>
          <w:rtl/>
        </w:rPr>
        <w:t xml:space="preserve"> به </w:t>
      </w:r>
      <w:r w:rsidR="00FB0AD8" w:rsidRPr="005F0C98">
        <w:rPr>
          <w:rFonts w:hint="cs"/>
          <w:rtl/>
        </w:rPr>
        <w:t xml:space="preserve">ناحیه </w:t>
      </w:r>
      <w:r w:rsidRPr="005F0C98">
        <w:rPr>
          <w:rFonts w:hint="cs"/>
          <w:rtl/>
        </w:rPr>
        <w:t xml:space="preserve">اشباع </w:t>
      </w:r>
      <w:r w:rsidR="00FB0AD8" w:rsidRPr="005F0C98">
        <w:rPr>
          <w:rFonts w:hint="cs"/>
          <w:rtl/>
        </w:rPr>
        <w:t>نزدیک می‌شود</w:t>
      </w:r>
      <w:r w:rsidRPr="005F0C98">
        <w:rPr>
          <w:rFonts w:hint="cs"/>
          <w:rtl/>
        </w:rPr>
        <w:t xml:space="preserve">. دلیل این موضوع به ولتاژ </w:t>
      </w:r>
      <w:r w:rsidR="00933A72" w:rsidRPr="005F0C98">
        <w:rPr>
          <w:rFonts w:hint="cs"/>
          <w:rtl/>
        </w:rPr>
        <w:t xml:space="preserve">شاخه موازی </w:t>
      </w:r>
      <w:r w:rsidRPr="005F0C98">
        <w:rPr>
          <w:rFonts w:hint="cs"/>
          <w:rtl/>
        </w:rPr>
        <w:t xml:space="preserve">برمی‌گردد که </w:t>
      </w:r>
      <w:r w:rsidR="00811423" w:rsidRPr="005F0C98">
        <w:rPr>
          <w:rFonts w:hint="cs"/>
          <w:rtl/>
        </w:rPr>
        <w:t xml:space="preserve">در </w:t>
      </w:r>
      <w:r w:rsidR="00933A72" w:rsidRPr="005F0C98">
        <w:rPr>
          <w:rFonts w:hint="cs"/>
          <w:rtl/>
        </w:rPr>
        <w:t xml:space="preserve">ترانس قدرت </w:t>
      </w:r>
      <w:r w:rsidRPr="005F0C98">
        <w:rPr>
          <w:rFonts w:hint="cs"/>
          <w:rtl/>
        </w:rPr>
        <w:t>باعث می‌ش</w:t>
      </w:r>
      <w:r w:rsidR="00933A72" w:rsidRPr="005F0C98">
        <w:rPr>
          <w:rFonts w:hint="cs"/>
          <w:rtl/>
        </w:rPr>
        <w:t>ود،</w:t>
      </w:r>
      <w:r w:rsidRPr="005F0C98">
        <w:rPr>
          <w:rFonts w:hint="cs"/>
          <w:rtl/>
        </w:rPr>
        <w:t xml:space="preserve"> با افزایش جریان</w:t>
      </w:r>
      <w:r w:rsidR="00AF0CDE" w:rsidRPr="005F0C98">
        <w:rPr>
          <w:rFonts w:hint="cs"/>
          <w:rtl/>
        </w:rPr>
        <w:t>،</w:t>
      </w:r>
      <w:r w:rsidRPr="005F0C98">
        <w:rPr>
          <w:rFonts w:hint="cs"/>
          <w:rtl/>
        </w:rPr>
        <w:t xml:space="preserve"> ولتاژ دو سر شاخه موازی کاهش یابد. اما در </w:t>
      </w:r>
      <w:r w:rsidR="003D126C" w:rsidRPr="005F0C98">
        <w:rPr>
          <w:rFonts w:cs="Calibri" w:hint="cs"/>
          <w:rtl/>
        </w:rPr>
        <w:t>"</w:t>
      </w:r>
      <w:r w:rsidRPr="005F0C98">
        <w:t>CT</w:t>
      </w:r>
      <w:r w:rsidR="003D126C" w:rsidRPr="005F0C98">
        <w:rPr>
          <w:rFonts w:cs="Calibri" w:hint="cs"/>
          <w:rtl/>
        </w:rPr>
        <w:t>"</w:t>
      </w:r>
      <w:r w:rsidR="00591E2B" w:rsidRPr="005F0C98">
        <w:rPr>
          <w:rFonts w:hint="cs"/>
          <w:rtl/>
        </w:rPr>
        <w:t xml:space="preserve"> با افزایش جریان، </w:t>
      </w:r>
      <w:r w:rsidRPr="005F0C98">
        <w:rPr>
          <w:rFonts w:hint="cs"/>
          <w:rtl/>
        </w:rPr>
        <w:t>ولتاژ شاخه موازی در سمت ثانویه</w:t>
      </w:r>
      <w:r w:rsidR="00591E2B" w:rsidRPr="00591E2B">
        <w:rPr>
          <w:rFonts w:hint="cs"/>
          <w:rtl/>
        </w:rPr>
        <w:t xml:space="preserve"> </w:t>
      </w:r>
      <w:r w:rsidR="00591E2B" w:rsidRPr="00430D3E">
        <w:rPr>
          <w:rFonts w:hint="cs"/>
          <w:rtl/>
        </w:rPr>
        <w:t>افزایش</w:t>
      </w:r>
      <w:r w:rsidR="00591E2B">
        <w:rPr>
          <w:rFonts w:hint="cs"/>
          <w:rtl/>
        </w:rPr>
        <w:t xml:space="preserve"> می‌یابد و</w:t>
      </w:r>
      <w:r w:rsidRPr="00430D3E">
        <w:rPr>
          <w:rFonts w:hint="cs"/>
          <w:rtl/>
        </w:rPr>
        <w:t xml:space="preserve"> </w:t>
      </w:r>
      <w:r w:rsidR="00915FFB">
        <w:rPr>
          <w:rFonts w:cs="Calibri" w:hint="cs"/>
          <w:rtl/>
        </w:rPr>
        <w:t>"</w:t>
      </w:r>
      <w:r w:rsidR="00E823DC" w:rsidRPr="00430D3E">
        <w:t>CT</w:t>
      </w:r>
      <w:r w:rsidR="00915FFB">
        <w:rPr>
          <w:rFonts w:cs="Calibri" w:hint="cs"/>
          <w:rtl/>
        </w:rPr>
        <w:t>"</w:t>
      </w:r>
      <w:r w:rsidR="00E823DC" w:rsidRPr="00430D3E">
        <w:rPr>
          <w:rFonts w:hint="cs"/>
          <w:rtl/>
        </w:rPr>
        <w:t xml:space="preserve"> </w:t>
      </w:r>
      <w:r w:rsidRPr="00430D3E">
        <w:rPr>
          <w:rFonts w:hint="cs"/>
          <w:rtl/>
        </w:rPr>
        <w:t>اشباع می‌شود.</w:t>
      </w:r>
    </w:p>
    <w:p w14:paraId="5B7F530B" w14:textId="484083AE" w:rsidR="00030DCC" w:rsidRDefault="00030DCC" w:rsidP="00030DCC">
      <w:pPr>
        <w:pStyle w:val="AAAR-Normal"/>
        <w:jc w:val="left"/>
        <w:rPr>
          <w:rtl/>
        </w:rPr>
      </w:pPr>
      <w:r>
        <w:rPr>
          <w:rtl/>
        </w:rPr>
        <w:t>قر</w:t>
      </w:r>
      <w:r>
        <w:rPr>
          <w:rFonts w:hint="cs"/>
          <w:rtl/>
        </w:rPr>
        <w:t>ی</w:t>
      </w:r>
      <w:r>
        <w:rPr>
          <w:rFonts w:hint="eastAsia"/>
          <w:rtl/>
        </w:rPr>
        <w:t>با</w:t>
      </w:r>
      <w:r>
        <w:rPr>
          <w:rtl/>
        </w:rPr>
        <w:t>...</w:t>
      </w:r>
    </w:p>
    <w:p w14:paraId="36F28CCD" w14:textId="77777777" w:rsidR="00F07847" w:rsidRPr="005F0C98" w:rsidRDefault="00A905DB" w:rsidP="005F0C98">
      <w:pPr>
        <w:pStyle w:val="AAE-Normal"/>
        <w:rPr>
          <w:rtl/>
        </w:rPr>
      </w:pPr>
      <w:r w:rsidRPr="005F0C98">
        <w:t>As mentioned before</w:t>
      </w:r>
      <w:r w:rsidR="0030519F" w:rsidRPr="005F0C98">
        <w:t>, the power transformer recedes from saturation</w:t>
      </w:r>
      <w:r w:rsidRPr="005F0C98">
        <w:t xml:space="preserve"> by increasing the current</w:t>
      </w:r>
      <w:r w:rsidR="004841C3" w:rsidRPr="005F0C98">
        <w:t xml:space="preserve"> whereas </w:t>
      </w:r>
      <w:r w:rsidR="009A45B9" w:rsidRPr="005F0C98">
        <w:t xml:space="preserve">CT gets closer to the saturation area. The reason for this is related to the </w:t>
      </w:r>
      <w:r w:rsidR="00811423" w:rsidRPr="005F0C98">
        <w:t xml:space="preserve">voltage of </w:t>
      </w:r>
      <w:r w:rsidR="009A45B9" w:rsidRPr="005F0C98">
        <w:t xml:space="preserve">parallel branch where, </w:t>
      </w:r>
      <w:r w:rsidR="00811423" w:rsidRPr="005F0C98">
        <w:t xml:space="preserve">in the power transformer </w:t>
      </w:r>
      <w:r w:rsidR="009A45B9" w:rsidRPr="005F0C98">
        <w:t xml:space="preserve">by increasing the current, voltage of the parallel branch decrease. </w:t>
      </w:r>
      <w:r w:rsidR="003203E8" w:rsidRPr="005F0C98">
        <w:t>However,</w:t>
      </w:r>
      <w:r w:rsidR="009A45B9" w:rsidRPr="005F0C98">
        <w:t xml:space="preserve"> in “CT”, by increasing the current, the voltage of the parallel branch in the secondary side increases and the “CT” saturates.</w:t>
      </w:r>
    </w:p>
    <w:p w14:paraId="12105F2E" w14:textId="70F34AD1" w:rsidR="00F07847" w:rsidRDefault="004841C3" w:rsidP="008F54F7">
      <w:pPr>
        <w:pStyle w:val="AAG-Normal"/>
        <w:rPr>
          <w:lang w:val="de-DE"/>
        </w:rPr>
      </w:pPr>
      <w:r w:rsidRPr="005F0C98">
        <w:rPr>
          <w:lang w:val="de-DE"/>
        </w:rPr>
        <w:t>Wie bereits erwähnt, entweicht</w:t>
      </w:r>
      <w:r w:rsidRPr="004841C3">
        <w:rPr>
          <w:lang w:val="de-DE"/>
        </w:rPr>
        <w:t xml:space="preserve"> der Leistungstransformator von der Sättigung durch Erhöhung des Stroms, während </w:t>
      </w:r>
      <w:r>
        <w:rPr>
          <w:lang w:val="de-DE"/>
        </w:rPr>
        <w:t>I-Wdl</w:t>
      </w:r>
      <w:r w:rsidRPr="004841C3">
        <w:rPr>
          <w:lang w:val="de-DE"/>
        </w:rPr>
        <w:t xml:space="preserve"> näher an den Sättigungsbereich heranrückt. Der Grund dafür ist die Spannung des Parallelzweigs, bei der im Leistungstransformator durch Erhöhung des Stroms die Spannung der beiden Enden des parallelen Zweiges abnimmt. In </w:t>
      </w:r>
      <w:r>
        <w:rPr>
          <w:lang w:val="de-DE"/>
        </w:rPr>
        <w:t>I-Wdl</w:t>
      </w:r>
      <w:r w:rsidRPr="004841C3">
        <w:rPr>
          <w:lang w:val="de-DE"/>
        </w:rPr>
        <w:t xml:space="preserve"> erhöht sich jedoch durch Erhöhung des Stroms die Spannung des parallelen Zweiges in der Sekundärseite und der </w:t>
      </w:r>
      <w:r>
        <w:rPr>
          <w:lang w:val="de-DE"/>
        </w:rPr>
        <w:t>I-Wdl</w:t>
      </w:r>
      <w:r w:rsidRPr="004841C3">
        <w:rPr>
          <w:lang w:val="de-DE"/>
        </w:rPr>
        <w:t xml:space="preserve"> sättigt.</w:t>
      </w:r>
    </w:p>
    <w:p w14:paraId="408A28BD" w14:textId="2CD9A7DC" w:rsidR="008F54F7" w:rsidRDefault="007D1C0D" w:rsidP="008F54F7">
      <w:pPr>
        <w:pStyle w:val="AAS-Normal"/>
        <w:rPr>
          <w:lang w:val="de-DE"/>
        </w:rPr>
      </w:pPr>
      <w:r>
        <w:rPr>
          <w:lang w:val="de-DE"/>
        </w:rPr>
        <w:t>.</w:t>
      </w:r>
      <w:r w:rsidRPr="0009263D">
        <w:rPr>
          <w:lang w:val="es-ES"/>
        </w:rPr>
        <w:t xml:space="preserve"> </w:t>
      </w:r>
      <w:r w:rsidRPr="0009263D">
        <w:rPr>
          <w:lang w:val="de-DE"/>
        </w:rPr>
        <w:t>Como ya se ha mencionado, el transformador de potencia se aleja de la saturación aumentando la corriente, mientras que el TC</w:t>
      </w:r>
      <w:r>
        <w:rPr>
          <w:lang w:val="de-DE"/>
        </w:rPr>
        <w:t xml:space="preserve"> ( CT )</w:t>
      </w:r>
      <w:r w:rsidRPr="0009263D">
        <w:rPr>
          <w:lang w:val="de-DE"/>
        </w:rPr>
        <w:t xml:space="preserve"> se acerca a la zona de saturación. La razón de esto está relacionada con el voltaje de la rama paralela donde, en el transformador de potencia al aumentar la corriente, el voltaje de la rama paralela disminuye. Sin embargo, en el "CT", al aumentar la corriente, el voltaje de la rama paralela en el lado secundario aumenta y el "CT" se satura.</w:t>
      </w:r>
    </w:p>
    <w:p w14:paraId="0DC3D351" w14:textId="018AA185" w:rsidR="008F54F7" w:rsidRDefault="008F54F7" w:rsidP="008150C8">
      <w:pPr>
        <w:pStyle w:val="AAF-Normal"/>
        <w:rPr>
          <w:rtl/>
          <w:lang w:val="de-DE"/>
        </w:rPr>
      </w:pPr>
      <w:r>
        <w:rPr>
          <w:lang w:val="de-DE"/>
        </w:rPr>
        <w:t>Bientôt disponible</w:t>
      </w:r>
    </w:p>
    <w:p w14:paraId="3E63193F" w14:textId="211A34E9" w:rsidR="008B1BEC" w:rsidRPr="003203E8" w:rsidRDefault="008B1BEC" w:rsidP="008B1BEC">
      <w:pPr>
        <w:pStyle w:val="AAA-Aks"/>
        <w:bidi w:val="0"/>
        <w:rPr>
          <w:lang w:val="de-DE"/>
        </w:rPr>
      </w:pPr>
      <w:r>
        <w:drawing>
          <wp:inline distT="0" distB="0" distL="0" distR="0" wp14:anchorId="056C863F" wp14:editId="61BEDF8A">
            <wp:extent cx="2511631" cy="1049944"/>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43065" cy="1063085"/>
                    </a:xfrm>
                    <a:prstGeom prst="rect">
                      <a:avLst/>
                    </a:prstGeom>
                  </pic:spPr>
                </pic:pic>
              </a:graphicData>
            </a:graphic>
          </wp:inline>
        </w:drawing>
      </w:r>
    </w:p>
    <w:p w14:paraId="19201EDC" w14:textId="5167F182" w:rsidR="00B805EC" w:rsidRDefault="00422C01" w:rsidP="00D52CFD">
      <w:pPr>
        <w:pStyle w:val="AAA-MatnAsli"/>
        <w:rPr>
          <w:rtl/>
        </w:rPr>
      </w:pPr>
      <w:r>
        <w:rPr>
          <w:rFonts w:hint="cs"/>
          <w:rtl/>
        </w:rPr>
        <w:t xml:space="preserve">اشباع </w:t>
      </w:r>
      <w:r w:rsidR="003D126C">
        <w:rPr>
          <w:rFonts w:cs="Calibri" w:hint="cs"/>
          <w:rtl/>
        </w:rPr>
        <w:t>"</w:t>
      </w:r>
      <w:r w:rsidRPr="004841C3">
        <w:rPr>
          <w:lang w:val="de-DE"/>
        </w:rPr>
        <w:t>CT</w:t>
      </w:r>
      <w:r w:rsidR="003D126C">
        <w:rPr>
          <w:rFonts w:cs="Calibri" w:hint="cs"/>
          <w:rtl/>
        </w:rPr>
        <w:t>"</w:t>
      </w:r>
      <w:r>
        <w:rPr>
          <w:rFonts w:hint="cs"/>
          <w:rtl/>
        </w:rPr>
        <w:t xml:space="preserve"> در یک سیستم قدرت </w:t>
      </w:r>
      <w:r w:rsidR="0052774A">
        <w:rPr>
          <w:rFonts w:hint="cs"/>
          <w:rtl/>
        </w:rPr>
        <w:t>ناشی از</w:t>
      </w:r>
      <w:r>
        <w:rPr>
          <w:rFonts w:hint="cs"/>
          <w:rtl/>
        </w:rPr>
        <w:t xml:space="preserve"> افزایش جریان اولیه به دلیل وق</w:t>
      </w:r>
      <w:r w:rsidR="00593082">
        <w:rPr>
          <w:rFonts w:hint="cs"/>
          <w:rtl/>
        </w:rPr>
        <w:t>وع خطاست</w:t>
      </w:r>
      <w:r w:rsidR="00915FFB">
        <w:rPr>
          <w:rFonts w:hint="cs"/>
          <w:rtl/>
        </w:rPr>
        <w:t xml:space="preserve"> که</w:t>
      </w:r>
      <w:r>
        <w:rPr>
          <w:rFonts w:hint="cs"/>
          <w:rtl/>
        </w:rPr>
        <w:t xml:space="preserve"> باعث می‌شود</w:t>
      </w:r>
      <w:r w:rsidR="00915FFB">
        <w:rPr>
          <w:rFonts w:hint="cs"/>
          <w:rtl/>
        </w:rPr>
        <w:t>،</w:t>
      </w:r>
      <w:r w:rsidR="0052774A">
        <w:rPr>
          <w:rFonts w:hint="cs"/>
          <w:rtl/>
        </w:rPr>
        <w:t xml:space="preserve"> </w:t>
      </w:r>
      <w:r w:rsidR="003D126C">
        <w:rPr>
          <w:rFonts w:cs="Calibri" w:hint="cs"/>
          <w:rtl/>
        </w:rPr>
        <w:t>"</w:t>
      </w:r>
      <w:r w:rsidR="0052774A" w:rsidRPr="004841C3">
        <w:rPr>
          <w:lang w:val="de-DE"/>
        </w:rPr>
        <w:t>CT</w:t>
      </w:r>
      <w:r w:rsidR="003D126C">
        <w:rPr>
          <w:rFonts w:cs="Calibri" w:hint="cs"/>
          <w:rtl/>
        </w:rPr>
        <w:t>"</w:t>
      </w:r>
      <w:r w:rsidR="0052774A">
        <w:rPr>
          <w:rFonts w:hint="cs"/>
          <w:rtl/>
        </w:rPr>
        <w:t xml:space="preserve"> نتواند جریان خطا را با نسبت درست به ثانویه</w:t>
      </w:r>
      <w:r w:rsidR="00E11911">
        <w:rPr>
          <w:rFonts w:hint="cs"/>
          <w:rtl/>
        </w:rPr>
        <w:t xml:space="preserve"> </w:t>
      </w:r>
      <w:r w:rsidR="0052774A">
        <w:rPr>
          <w:rFonts w:hint="cs"/>
          <w:rtl/>
        </w:rPr>
        <w:t>منتقل کند</w:t>
      </w:r>
      <w:r w:rsidR="00F375E5">
        <w:rPr>
          <w:rFonts w:hint="cs"/>
          <w:rtl/>
        </w:rPr>
        <w:t>.</w:t>
      </w:r>
      <w:r w:rsidR="0052774A">
        <w:rPr>
          <w:rFonts w:hint="cs"/>
          <w:rtl/>
        </w:rPr>
        <w:t xml:space="preserve"> </w:t>
      </w:r>
      <w:r w:rsidR="00F375E5">
        <w:rPr>
          <w:rFonts w:hint="cs"/>
          <w:rtl/>
        </w:rPr>
        <w:t xml:space="preserve">از آنجا که </w:t>
      </w:r>
      <w:r w:rsidR="0052774A">
        <w:rPr>
          <w:rFonts w:hint="cs"/>
          <w:rtl/>
        </w:rPr>
        <w:t>نقطه اشباع</w:t>
      </w:r>
      <w:r w:rsidR="00E11911">
        <w:rPr>
          <w:rFonts w:hint="cs"/>
          <w:rtl/>
        </w:rPr>
        <w:t xml:space="preserve"> </w:t>
      </w:r>
      <w:r w:rsidR="003D126C">
        <w:rPr>
          <w:rFonts w:cs="Calibri" w:hint="cs"/>
          <w:rtl/>
        </w:rPr>
        <w:t>"</w:t>
      </w:r>
      <w:r w:rsidR="00E11911" w:rsidRPr="004841C3">
        <w:rPr>
          <w:lang w:val="de-DE"/>
        </w:rPr>
        <w:t>CT</w:t>
      </w:r>
      <w:r w:rsidR="003D126C">
        <w:rPr>
          <w:rFonts w:cs="Calibri" w:hint="cs"/>
          <w:rtl/>
        </w:rPr>
        <w:t>"</w:t>
      </w:r>
      <w:r w:rsidR="00E11911">
        <w:rPr>
          <w:rFonts w:hint="cs"/>
          <w:rtl/>
        </w:rPr>
        <w:t xml:space="preserve"> با ولتاژ و جریان شاخه موازی ارتباط دارد</w:t>
      </w:r>
      <w:r w:rsidR="00593082">
        <w:rPr>
          <w:rFonts w:hint="cs"/>
          <w:rtl/>
        </w:rPr>
        <w:t>،</w:t>
      </w:r>
      <w:r w:rsidR="00E11911">
        <w:rPr>
          <w:rFonts w:hint="cs"/>
          <w:rtl/>
        </w:rPr>
        <w:t xml:space="preserve"> در انجام این تست، ولتاژ ثانویه افزایش می‌یابد و نقطه‌‌ای که در آن با ازای افزایش ده درصدی ولتا</w:t>
      </w:r>
      <w:r w:rsidR="00593082">
        <w:rPr>
          <w:rFonts w:hint="cs"/>
          <w:rtl/>
        </w:rPr>
        <w:t>ژ</w:t>
      </w:r>
      <w:r w:rsidR="00E11911">
        <w:rPr>
          <w:rFonts w:hint="cs"/>
          <w:rtl/>
        </w:rPr>
        <w:t xml:space="preserve"> ، جریان کشیده شده 50 درصد افزایش می‌یابد نقطه اشباع در نظر گرفته می‌شود.</w:t>
      </w:r>
      <w:r w:rsidR="00933A72">
        <w:rPr>
          <w:rFonts w:hint="cs"/>
          <w:rtl/>
        </w:rPr>
        <w:t xml:space="preserve"> </w:t>
      </w:r>
      <w:r w:rsidR="00810379">
        <w:rPr>
          <w:rFonts w:hint="cs"/>
          <w:rtl/>
        </w:rPr>
        <w:t xml:space="preserve">در فیلم‌های آینده نحوه وارد کردن مقادیر و انجام تست برای </w:t>
      </w:r>
      <w:r w:rsidR="003D126C">
        <w:rPr>
          <w:rFonts w:cs="Calibri" w:hint="cs"/>
          <w:rtl/>
        </w:rPr>
        <w:t>"</w:t>
      </w:r>
      <w:r w:rsidR="00810379" w:rsidRPr="004841C3">
        <w:rPr>
          <w:lang w:val="de-DE"/>
        </w:rPr>
        <w:t>CT</w:t>
      </w:r>
      <w:r w:rsidR="003D126C">
        <w:rPr>
          <w:rFonts w:cs="Calibri" w:hint="cs"/>
          <w:rtl/>
        </w:rPr>
        <w:t>"</w:t>
      </w:r>
      <w:r w:rsidR="00810379">
        <w:rPr>
          <w:rFonts w:hint="cs"/>
          <w:rtl/>
        </w:rPr>
        <w:t xml:space="preserve">های مختلف ارائه خواهد شد. </w:t>
      </w:r>
    </w:p>
    <w:p w14:paraId="1BA8DDA6" w14:textId="03B812CF" w:rsidR="00030DCC" w:rsidRPr="004841C3" w:rsidRDefault="00030DCC" w:rsidP="00030DCC">
      <w:pPr>
        <w:pStyle w:val="AAAR-Normal"/>
        <w:jc w:val="left"/>
        <w:rPr>
          <w:lang w:val="de-DE"/>
        </w:rPr>
      </w:pPr>
      <w:r>
        <w:rPr>
          <w:rtl/>
          <w:lang w:val="de-DE"/>
        </w:rPr>
        <w:t>قر</w:t>
      </w:r>
      <w:r>
        <w:rPr>
          <w:rFonts w:hint="cs"/>
          <w:rtl/>
          <w:lang w:val="de-DE"/>
        </w:rPr>
        <w:t>ی</w:t>
      </w:r>
      <w:r>
        <w:rPr>
          <w:rFonts w:hint="eastAsia"/>
          <w:rtl/>
          <w:lang w:val="de-DE"/>
        </w:rPr>
        <w:t>با</w:t>
      </w:r>
      <w:r>
        <w:rPr>
          <w:rtl/>
          <w:lang w:val="de-DE"/>
        </w:rPr>
        <w:t>...</w:t>
      </w:r>
    </w:p>
    <w:p w14:paraId="004CABC7" w14:textId="77777777" w:rsidR="009A45B9" w:rsidRDefault="0073644F" w:rsidP="005F0C98">
      <w:pPr>
        <w:pStyle w:val="AAE-Normal"/>
        <w:rPr>
          <w:lang w:bidi="fa-IR"/>
        </w:rPr>
      </w:pPr>
      <w:r w:rsidRPr="00337070">
        <w:rPr>
          <w:lang w:bidi="fa-IR"/>
        </w:rPr>
        <w:t xml:space="preserve">“CT” saturation in a power system is caused by increase in the primary current </w:t>
      </w:r>
      <w:r w:rsidR="00E071D5" w:rsidRPr="00337070">
        <w:rPr>
          <w:lang w:bidi="fa-IR"/>
        </w:rPr>
        <w:t xml:space="preserve">because of </w:t>
      </w:r>
      <w:r w:rsidRPr="00337070">
        <w:rPr>
          <w:lang w:bidi="fa-IR"/>
        </w:rPr>
        <w:t xml:space="preserve">occurrence of </w:t>
      </w:r>
      <w:r w:rsidR="00E071D5" w:rsidRPr="00337070">
        <w:rPr>
          <w:lang w:bidi="fa-IR"/>
        </w:rPr>
        <w:t>a</w:t>
      </w:r>
      <w:r w:rsidRPr="00337070">
        <w:rPr>
          <w:lang w:bidi="fa-IR"/>
        </w:rPr>
        <w:t xml:space="preserve"> </w:t>
      </w:r>
      <w:r w:rsidR="004841C3" w:rsidRPr="00337070">
        <w:rPr>
          <w:lang w:bidi="fa-IR"/>
        </w:rPr>
        <w:t>fault, which</w:t>
      </w:r>
      <w:r w:rsidRPr="00337070">
        <w:rPr>
          <w:lang w:bidi="fa-IR"/>
        </w:rPr>
        <w:t xml:space="preserve"> disables the “CT” to move the fault current to the secondary with the correct ratio. </w:t>
      </w:r>
      <w:r w:rsidR="00E071D5" w:rsidRPr="00337070">
        <w:rPr>
          <w:lang w:bidi="fa-IR"/>
        </w:rPr>
        <w:t xml:space="preserve">Since the saturation point of “CT” is </w:t>
      </w:r>
      <w:r w:rsidR="00454DA2">
        <w:rPr>
          <w:lang w:bidi="fa-IR"/>
        </w:rPr>
        <w:t>related</w:t>
      </w:r>
      <w:r w:rsidR="00E071D5" w:rsidRPr="00337070">
        <w:rPr>
          <w:lang w:bidi="fa-IR"/>
        </w:rPr>
        <w:t xml:space="preserve"> to voltage and parallel branch current, while doing this test, the secondary voltage increases and the point where by increasing the voltage by 10 percent, the drawn current increases by 50 pe</w:t>
      </w:r>
      <w:r w:rsidR="00286D45" w:rsidRPr="00337070">
        <w:rPr>
          <w:lang w:bidi="fa-IR"/>
        </w:rPr>
        <w:t xml:space="preserve">rcent is considered as the saturation point. </w:t>
      </w:r>
      <w:r w:rsidR="008F1141" w:rsidRPr="00337070">
        <w:rPr>
          <w:lang w:bidi="fa-IR"/>
        </w:rPr>
        <w:t>In future videos the ways to enter the values and do the test for different “CT”s will be provided.</w:t>
      </w:r>
    </w:p>
    <w:p w14:paraId="18669A35" w14:textId="52D07B45" w:rsidR="004841C3" w:rsidRDefault="004841C3" w:rsidP="008F54F7">
      <w:pPr>
        <w:pStyle w:val="AAG-Normal"/>
        <w:rPr>
          <w:lang w:val="de-DE"/>
        </w:rPr>
      </w:pPr>
      <w:r w:rsidRPr="004841C3">
        <w:rPr>
          <w:lang w:val="de-DE"/>
        </w:rPr>
        <w:t xml:space="preserve">Die </w:t>
      </w:r>
      <w:r>
        <w:rPr>
          <w:lang w:val="de-DE"/>
        </w:rPr>
        <w:t>I-Wdl</w:t>
      </w:r>
      <w:r w:rsidRPr="004841C3">
        <w:rPr>
          <w:lang w:val="de-DE"/>
        </w:rPr>
        <w:t xml:space="preserve">-Sättigung in einem Energiesystem wird durch die Erhöhung des Primärstroms durch das Auftreten eines Fehlers verursacht, der den </w:t>
      </w:r>
      <w:r>
        <w:rPr>
          <w:lang w:val="de-DE"/>
        </w:rPr>
        <w:t>I-Wdl</w:t>
      </w:r>
      <w:r w:rsidRPr="004841C3">
        <w:rPr>
          <w:lang w:val="de-DE"/>
        </w:rPr>
        <w:t xml:space="preserve"> deaktiviert, um den Fehlerstrom mit dem richtigen Verhältnis in den sekundären zu verschieben. Da der Sättigungspunkt von </w:t>
      </w:r>
      <w:r>
        <w:rPr>
          <w:lang w:val="de-DE"/>
        </w:rPr>
        <w:t>I-Wdl</w:t>
      </w:r>
      <w:r w:rsidRPr="004841C3">
        <w:rPr>
          <w:lang w:val="de-DE"/>
        </w:rPr>
        <w:t xml:space="preserve"> mit Spannung und parallelem Verzweigstrom zusammenhängt, steigt bei diesem Test die Sekundärspannung und der Punkt, an dem durch Erhöhung der Spannung um 10 Prozent der gezogene Strom um 50 Prozent als Sättigungspunkt betrachtet wird.</w:t>
      </w:r>
      <w:r w:rsidR="00B15E92" w:rsidRPr="00B15E92">
        <w:rPr>
          <w:lang w:val="de-DE"/>
        </w:rPr>
        <w:t xml:space="preserve"> In zukünftigen Videos werden die Möglichkeiten zur Eingabe der Werte und zum Testen für verschiedene </w:t>
      </w:r>
      <w:r w:rsidR="00B15E92">
        <w:rPr>
          <w:lang w:val="de-DE"/>
        </w:rPr>
        <w:t>I-Wdl</w:t>
      </w:r>
      <w:r w:rsidR="00B15E92" w:rsidRPr="00B15E92">
        <w:rPr>
          <w:lang w:val="de-DE"/>
        </w:rPr>
        <w:t xml:space="preserve"> zur Verfügung gestellt.</w:t>
      </w:r>
    </w:p>
    <w:p w14:paraId="2315D8B7" w14:textId="1FF4012E" w:rsidR="008F54F7" w:rsidRDefault="007D1C0D" w:rsidP="008F54F7">
      <w:pPr>
        <w:pStyle w:val="AAS-Normal"/>
        <w:rPr>
          <w:lang w:val="de-DE"/>
        </w:rPr>
      </w:pPr>
      <w:r>
        <w:rPr>
          <w:lang w:val="de-DE"/>
        </w:rPr>
        <w:t>.</w:t>
      </w:r>
      <w:r w:rsidRPr="0009263D">
        <w:rPr>
          <w:lang w:val="es-ES"/>
        </w:rPr>
        <w:t xml:space="preserve"> </w:t>
      </w:r>
      <w:r w:rsidRPr="0009263D">
        <w:rPr>
          <w:lang w:val="de-DE"/>
        </w:rPr>
        <w:t>La saturación del "CT" en un sistema de energía es causada por el aumento de la corriente primaria debido a la ocurrencia de una falla, lo que inhabilita al "CT" para mover la corriente de falla al secundario con la proporción correcta. Dado que el punto de saturación del "CT" está relacionado con el voltaje y la corriente de rama paralela, al hacer esta prueba, el voltaje secundario aumenta y el punto donde al aumentar el voltaje en un 10 por ciento, la corriente extraída aumenta en un 50 por ciento se considera como el punto de saturación. En futuros videos se proporcionarán las formas de introducir los valores y hacer la prueba para diferentes "CT".</w:t>
      </w:r>
    </w:p>
    <w:p w14:paraId="5A6187C4" w14:textId="7292A797" w:rsidR="008F54F7" w:rsidRDefault="008F54F7" w:rsidP="008150C8">
      <w:pPr>
        <w:pStyle w:val="AAF-Normal"/>
        <w:rPr>
          <w:rtl/>
          <w:lang w:val="de-DE"/>
        </w:rPr>
      </w:pPr>
      <w:r>
        <w:rPr>
          <w:lang w:val="de-DE"/>
        </w:rPr>
        <w:t>Bientôt disponible</w:t>
      </w:r>
    </w:p>
    <w:p w14:paraId="7F3452B9" w14:textId="5D930DDE" w:rsidR="008B1BEC" w:rsidRDefault="008B1BEC" w:rsidP="008B1BEC">
      <w:pPr>
        <w:pStyle w:val="AAA-Aks"/>
        <w:bidi w:val="0"/>
        <w:rPr>
          <w:rtl/>
          <w:lang w:val="de-DE"/>
        </w:rPr>
      </w:pPr>
      <w:r>
        <w:drawing>
          <wp:inline distT="0" distB="0" distL="0" distR="0" wp14:anchorId="48679155" wp14:editId="71E0F139">
            <wp:extent cx="3140294" cy="920338"/>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191208" cy="935260"/>
                    </a:xfrm>
                    <a:prstGeom prst="rect">
                      <a:avLst/>
                    </a:prstGeom>
                  </pic:spPr>
                </pic:pic>
              </a:graphicData>
            </a:graphic>
          </wp:inline>
        </w:drawing>
      </w:r>
    </w:p>
    <w:p w14:paraId="6D87E8B8" w14:textId="34815A8A" w:rsidR="008B1BEC" w:rsidRPr="004841C3" w:rsidRDefault="008B1BEC" w:rsidP="008B1BEC">
      <w:pPr>
        <w:pStyle w:val="AAA-Aks"/>
        <w:bidi w:val="0"/>
        <w:rPr>
          <w:lang w:val="de-DE"/>
        </w:rPr>
      </w:pPr>
      <w:r>
        <w:drawing>
          <wp:inline distT="0" distB="0" distL="0" distR="0" wp14:anchorId="617B2597" wp14:editId="0C1F386E">
            <wp:extent cx="3147303" cy="17159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64370" cy="1725290"/>
                    </a:xfrm>
                    <a:prstGeom prst="rect">
                      <a:avLst/>
                    </a:prstGeom>
                  </pic:spPr>
                </pic:pic>
              </a:graphicData>
            </a:graphic>
          </wp:inline>
        </w:drawing>
      </w:r>
    </w:p>
    <w:sectPr w:rsidR="008B1BEC" w:rsidRPr="004841C3" w:rsidSect="00E11911">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5T09:20:00Z" w:initials="H">
    <w:p w14:paraId="4A6CD76C" w14:textId="11F094DF" w:rsidR="00447795" w:rsidRPr="00A341F1" w:rsidRDefault="00447795" w:rsidP="00447795">
      <w:pPr>
        <w:pStyle w:val="CommentText"/>
        <w:bidi w:val="0"/>
        <w:rPr>
          <w:rFonts w:cstheme="minorHAnsi"/>
        </w:rPr>
      </w:pPr>
      <w:r>
        <w:rPr>
          <w:rStyle w:val="CommentReference"/>
        </w:rPr>
        <w:annotationRef/>
      </w:r>
      <w:r>
        <w:rPr>
          <w:rStyle w:val="CommentReference"/>
        </w:rPr>
        <w:annotationRef/>
      </w:r>
      <w:r>
        <w:t>Excitation</w:t>
      </w:r>
      <w:r>
        <w:rPr>
          <w:lang w:bidi="fa-IR"/>
        </w:rPr>
        <w:t>_Tes</w:t>
      </w:r>
      <w:r w:rsidR="00A341F1">
        <w:rPr>
          <w:lang w:bidi="fa-IR"/>
        </w:rPr>
        <w:t>t_Tab_Part</w:t>
      </w:r>
      <w:r w:rsidR="00A341F1">
        <w:rPr>
          <w:rFonts w:cstheme="minorHAnsi" w:hint="cs"/>
          <w:rtl/>
          <w:lang w:bidi="fa-IR"/>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6CD76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A5" w16cex:dateUtc="2020-06-15T0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6CD76C" w16cid:durableId="232C0DA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4"/>
  </w:num>
  <w:num w:numId="4">
    <w:abstractNumId w:val="13"/>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5"/>
  </w:num>
  <w:num w:numId="8">
    <w:abstractNumId w:val="9"/>
  </w:num>
  <w:num w:numId="9">
    <w:abstractNumId w:val="2"/>
  </w:num>
  <w:num w:numId="10">
    <w:abstractNumId w:val="3"/>
  </w:num>
  <w:num w:numId="11">
    <w:abstractNumId w:val="7"/>
  </w:num>
  <w:num w:numId="12">
    <w:abstractNumId w:val="19"/>
  </w:num>
  <w:num w:numId="13">
    <w:abstractNumId w:val="1"/>
  </w:num>
  <w:num w:numId="14">
    <w:abstractNumId w:val="18"/>
  </w:num>
  <w:num w:numId="15">
    <w:abstractNumId w:val="5"/>
  </w:num>
  <w:num w:numId="16">
    <w:abstractNumId w:val="11"/>
  </w:num>
  <w:num w:numId="17">
    <w:abstractNumId w:val="16"/>
  </w:num>
  <w:num w:numId="18">
    <w:abstractNumId w:val="6"/>
  </w:num>
  <w:num w:numId="19">
    <w:abstractNumId w:val="0"/>
  </w:num>
  <w:num w:numId="20">
    <w:abstractNumId w:val="8"/>
  </w:num>
  <w:num w:numId="21">
    <w:abstractNumId w:val="10"/>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C23"/>
    <w:rsid w:val="00030DCC"/>
    <w:rsid w:val="00031BF5"/>
    <w:rsid w:val="00035D35"/>
    <w:rsid w:val="00037F83"/>
    <w:rsid w:val="00077815"/>
    <w:rsid w:val="0009253B"/>
    <w:rsid w:val="000948F1"/>
    <w:rsid w:val="000F08DA"/>
    <w:rsid w:val="0011565F"/>
    <w:rsid w:val="00136EA0"/>
    <w:rsid w:val="00174D31"/>
    <w:rsid w:val="001834CD"/>
    <w:rsid w:val="001D1C23"/>
    <w:rsid w:val="00235EC5"/>
    <w:rsid w:val="00252CCC"/>
    <w:rsid w:val="002535A6"/>
    <w:rsid w:val="00280EA6"/>
    <w:rsid w:val="00286D45"/>
    <w:rsid w:val="00292F33"/>
    <w:rsid w:val="002B1C31"/>
    <w:rsid w:val="002B6A43"/>
    <w:rsid w:val="002F7556"/>
    <w:rsid w:val="0030519F"/>
    <w:rsid w:val="003203E8"/>
    <w:rsid w:val="00327A6C"/>
    <w:rsid w:val="00337070"/>
    <w:rsid w:val="00392E8E"/>
    <w:rsid w:val="003B1153"/>
    <w:rsid w:val="003D126C"/>
    <w:rsid w:val="003E17C6"/>
    <w:rsid w:val="003F43BF"/>
    <w:rsid w:val="00415C22"/>
    <w:rsid w:val="00422C01"/>
    <w:rsid w:val="00432927"/>
    <w:rsid w:val="00440FB9"/>
    <w:rsid w:val="00447795"/>
    <w:rsid w:val="00454DA2"/>
    <w:rsid w:val="00456FC5"/>
    <w:rsid w:val="00473018"/>
    <w:rsid w:val="004841C3"/>
    <w:rsid w:val="00493E00"/>
    <w:rsid w:val="004B3052"/>
    <w:rsid w:val="0052774A"/>
    <w:rsid w:val="0054062C"/>
    <w:rsid w:val="005643D4"/>
    <w:rsid w:val="0057632D"/>
    <w:rsid w:val="00591E2B"/>
    <w:rsid w:val="00593082"/>
    <w:rsid w:val="00595CFC"/>
    <w:rsid w:val="005F0C98"/>
    <w:rsid w:val="00666C2F"/>
    <w:rsid w:val="00680C1B"/>
    <w:rsid w:val="00681793"/>
    <w:rsid w:val="006F4558"/>
    <w:rsid w:val="006F74F6"/>
    <w:rsid w:val="00724C69"/>
    <w:rsid w:val="0073644F"/>
    <w:rsid w:val="00743693"/>
    <w:rsid w:val="00770507"/>
    <w:rsid w:val="007C02FA"/>
    <w:rsid w:val="007D1C0D"/>
    <w:rsid w:val="007E253B"/>
    <w:rsid w:val="007E68B9"/>
    <w:rsid w:val="00810379"/>
    <w:rsid w:val="00811423"/>
    <w:rsid w:val="008150C8"/>
    <w:rsid w:val="00816805"/>
    <w:rsid w:val="00817F69"/>
    <w:rsid w:val="0083141F"/>
    <w:rsid w:val="00833F1F"/>
    <w:rsid w:val="00883E75"/>
    <w:rsid w:val="008A2BF3"/>
    <w:rsid w:val="008A727D"/>
    <w:rsid w:val="008B1BEC"/>
    <w:rsid w:val="008C1C9A"/>
    <w:rsid w:val="008E667C"/>
    <w:rsid w:val="008F1141"/>
    <w:rsid w:val="008F54F7"/>
    <w:rsid w:val="009068A0"/>
    <w:rsid w:val="00915FFB"/>
    <w:rsid w:val="00933A72"/>
    <w:rsid w:val="00980A09"/>
    <w:rsid w:val="00982DDB"/>
    <w:rsid w:val="00990B5F"/>
    <w:rsid w:val="009A45B9"/>
    <w:rsid w:val="009D48BE"/>
    <w:rsid w:val="009F7259"/>
    <w:rsid w:val="00A04AA9"/>
    <w:rsid w:val="00A341F1"/>
    <w:rsid w:val="00A8459C"/>
    <w:rsid w:val="00A905DB"/>
    <w:rsid w:val="00AB0FA4"/>
    <w:rsid w:val="00AC2036"/>
    <w:rsid w:val="00AF0CDE"/>
    <w:rsid w:val="00B11550"/>
    <w:rsid w:val="00B15E92"/>
    <w:rsid w:val="00B805EC"/>
    <w:rsid w:val="00BC295E"/>
    <w:rsid w:val="00BC7B5D"/>
    <w:rsid w:val="00BE668C"/>
    <w:rsid w:val="00C20EF1"/>
    <w:rsid w:val="00C50458"/>
    <w:rsid w:val="00CC4963"/>
    <w:rsid w:val="00CD5613"/>
    <w:rsid w:val="00CE2C9C"/>
    <w:rsid w:val="00CF1E8B"/>
    <w:rsid w:val="00D13B10"/>
    <w:rsid w:val="00D32873"/>
    <w:rsid w:val="00D52CFD"/>
    <w:rsid w:val="00D55245"/>
    <w:rsid w:val="00D70B67"/>
    <w:rsid w:val="00D71CA2"/>
    <w:rsid w:val="00DC01E7"/>
    <w:rsid w:val="00E071D5"/>
    <w:rsid w:val="00E11911"/>
    <w:rsid w:val="00E1791B"/>
    <w:rsid w:val="00E2244C"/>
    <w:rsid w:val="00E410A2"/>
    <w:rsid w:val="00E43A76"/>
    <w:rsid w:val="00E823DC"/>
    <w:rsid w:val="00EC464A"/>
    <w:rsid w:val="00EE3EBC"/>
    <w:rsid w:val="00F07847"/>
    <w:rsid w:val="00F114B9"/>
    <w:rsid w:val="00F16260"/>
    <w:rsid w:val="00F375E5"/>
    <w:rsid w:val="00F61860"/>
    <w:rsid w:val="00F76DF2"/>
    <w:rsid w:val="00FB0AD8"/>
    <w:rsid w:val="00FB34D9"/>
    <w:rsid w:val="00FD19D8"/>
    <w:rsid w:val="00FE4A04"/>
    <w:rsid w:val="00FF4F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33DB6"/>
  <w15:docId w15:val="{B1CA4F8C-DD9E-4E1F-96B1-D2741D220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5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BC7B5D"/>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BC7B5D"/>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BC7B5D"/>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BC7B5D"/>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BC7B5D"/>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BC7B5D"/>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BC7B5D"/>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BC7B5D"/>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BC7B5D"/>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7B5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BC7B5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BC7B5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BC7B5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BC7B5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BC7B5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BC7B5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BC7B5D"/>
    <w:rPr>
      <w:rFonts w:asciiTheme="majorHAnsi" w:eastAsiaTheme="majorEastAsia" w:hAnsiTheme="majorHAnsi" w:cs="B Nazanin"/>
      <w:color w:val="272727" w:themeColor="text1" w:themeTint="D8"/>
      <w:sz w:val="20"/>
      <w:szCs w:val="20"/>
    </w:rPr>
  </w:style>
  <w:style w:type="paragraph" w:customStyle="1" w:styleId="AAA-MatnAsli">
    <w:name w:val="AAA-Matn Asli"/>
    <w:basedOn w:val="Normal"/>
    <w:autoRedefine/>
    <w:qFormat/>
    <w:rsid w:val="00BC7B5D"/>
    <w:pPr>
      <w:ind w:left="144" w:right="144" w:firstLine="288"/>
    </w:pPr>
    <w:rPr>
      <w:lang w:bidi="fa-IR"/>
    </w:rPr>
  </w:style>
  <w:style w:type="paragraph" w:customStyle="1" w:styleId="AAE-EnglishTable">
    <w:name w:val="AAE-English Table"/>
    <w:basedOn w:val="AAE-Normal"/>
    <w:rsid w:val="002535A6"/>
    <w:pPr>
      <w:numPr>
        <w:ilvl w:val="8"/>
        <w:numId w:val="1"/>
      </w:numPr>
      <w:jc w:val="right"/>
    </w:pPr>
    <w:rPr>
      <w:sz w:val="20"/>
      <w:szCs w:val="20"/>
    </w:rPr>
  </w:style>
  <w:style w:type="character" w:customStyle="1" w:styleId="Heading9Char">
    <w:name w:val="Heading 9 Char"/>
    <w:basedOn w:val="DefaultParagraphFont"/>
    <w:link w:val="Heading9"/>
    <w:uiPriority w:val="9"/>
    <w:rsid w:val="00BC7B5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BC7B5D"/>
    <w:pPr>
      <w:spacing w:before="240" w:after="120"/>
      <w:jc w:val="center"/>
    </w:pPr>
    <w:rPr>
      <w:noProof/>
      <w:sz w:val="16"/>
      <w:szCs w:val="16"/>
    </w:rPr>
  </w:style>
  <w:style w:type="character" w:styleId="Hyperlink">
    <w:name w:val="Hyperlink"/>
    <w:basedOn w:val="DefaultParagraphFont"/>
    <w:uiPriority w:val="99"/>
    <w:unhideWhenUsed/>
    <w:rsid w:val="00BC7B5D"/>
    <w:rPr>
      <w:color w:val="0563C1" w:themeColor="hyperlink"/>
      <w:u w:val="single"/>
    </w:rPr>
  </w:style>
  <w:style w:type="paragraph" w:customStyle="1" w:styleId="AAA-Formula-Left">
    <w:name w:val="AAA- Formula-Left"/>
    <w:basedOn w:val="Normal"/>
    <w:qFormat/>
    <w:rsid w:val="00BC7B5D"/>
    <w:pPr>
      <w:spacing w:before="0" w:after="0"/>
      <w:contextualSpacing/>
      <w:jc w:val="right"/>
    </w:pPr>
    <w:rPr>
      <w:rFonts w:ascii="Cambria Math" w:hAnsi="Cambria Math"/>
      <w:i/>
      <w:szCs w:val="20"/>
    </w:rPr>
  </w:style>
  <w:style w:type="paragraph" w:customStyle="1" w:styleId="AAA-Table-Math">
    <w:name w:val="AAA-Table- Math"/>
    <w:basedOn w:val="Table"/>
    <w:qFormat/>
    <w:rsid w:val="00BC7B5D"/>
    <w:rPr>
      <w:rFonts w:ascii="Cambria Math" w:hAnsi="Cambria Math"/>
      <w:i/>
    </w:rPr>
  </w:style>
  <w:style w:type="paragraph" w:styleId="CommentText">
    <w:name w:val="annotation text"/>
    <w:basedOn w:val="Normal"/>
    <w:link w:val="CommentTextChar"/>
    <w:uiPriority w:val="99"/>
    <w:unhideWhenUsed/>
    <w:rsid w:val="00BC7B5D"/>
    <w:rPr>
      <w:szCs w:val="20"/>
    </w:rPr>
  </w:style>
  <w:style w:type="character" w:customStyle="1" w:styleId="CommentTextChar">
    <w:name w:val="Comment Text Char"/>
    <w:basedOn w:val="DefaultParagraphFont"/>
    <w:link w:val="CommentText"/>
    <w:uiPriority w:val="99"/>
    <w:rsid w:val="00BC7B5D"/>
    <w:rPr>
      <w:rFonts w:cs="B Nazanin"/>
      <w:sz w:val="20"/>
      <w:szCs w:val="20"/>
    </w:rPr>
  </w:style>
  <w:style w:type="paragraph" w:styleId="Header">
    <w:name w:val="header"/>
    <w:basedOn w:val="Normal"/>
    <w:link w:val="HeaderChar"/>
    <w:autoRedefine/>
    <w:uiPriority w:val="99"/>
    <w:unhideWhenUsed/>
    <w:qFormat/>
    <w:rsid w:val="00BC7B5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BC7B5D"/>
    <w:rPr>
      <w:rFonts w:cs="B Nazanin"/>
      <w:bCs/>
      <w:sz w:val="20"/>
      <w:szCs w:val="26"/>
    </w:rPr>
  </w:style>
  <w:style w:type="paragraph" w:styleId="Footer">
    <w:name w:val="footer"/>
    <w:basedOn w:val="Normal"/>
    <w:link w:val="FooterChar"/>
    <w:uiPriority w:val="99"/>
    <w:unhideWhenUsed/>
    <w:qFormat/>
    <w:rsid w:val="00BC7B5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BC7B5D"/>
    <w:rPr>
      <w:rFonts w:cs="B Nazanin"/>
      <w:sz w:val="20"/>
      <w:szCs w:val="26"/>
    </w:rPr>
  </w:style>
  <w:style w:type="paragraph" w:styleId="Revision">
    <w:name w:val="Revision"/>
    <w:hidden/>
    <w:uiPriority w:val="99"/>
    <w:semiHidden/>
    <w:rsid w:val="00BC7B5D"/>
    <w:pPr>
      <w:spacing w:after="0" w:line="240" w:lineRule="auto"/>
    </w:pPr>
    <w:rPr>
      <w:rFonts w:cs="B Nazanin"/>
      <w:sz w:val="20"/>
      <w:szCs w:val="26"/>
    </w:rPr>
  </w:style>
  <w:style w:type="paragraph" w:customStyle="1" w:styleId="AAE-Normal">
    <w:name w:val="AAE-Normal"/>
    <w:autoRedefine/>
    <w:qFormat/>
    <w:rsid w:val="00BC7B5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535A6"/>
    <w:pPr>
      <w:contextualSpacing/>
      <w:jc w:val="left"/>
    </w:pPr>
    <w:rPr>
      <w:sz w:val="16"/>
      <w:szCs w:val="20"/>
    </w:rPr>
  </w:style>
  <w:style w:type="paragraph" w:customStyle="1" w:styleId="AAA-Bullet-Circle">
    <w:name w:val="AAA-Bullet - Circle"/>
    <w:basedOn w:val="Normal"/>
    <w:qFormat/>
    <w:rsid w:val="002535A6"/>
    <w:pPr>
      <w:numPr>
        <w:numId w:val="3"/>
      </w:numPr>
      <w:ind w:left="1080"/>
    </w:pPr>
    <w:rPr>
      <w:sz w:val="18"/>
      <w:szCs w:val="22"/>
      <w:lang w:bidi="fa-IR"/>
    </w:rPr>
  </w:style>
  <w:style w:type="paragraph" w:customStyle="1" w:styleId="AAA-Film">
    <w:name w:val="AAA-Film"/>
    <w:basedOn w:val="Normal"/>
    <w:qFormat/>
    <w:rsid w:val="002535A6"/>
    <w:rPr>
      <w:rFonts w:asciiTheme="majorBidi" w:hAnsiTheme="majorBidi"/>
      <w:color w:val="FF0000"/>
      <w:lang w:bidi="fa-IR"/>
    </w:rPr>
  </w:style>
  <w:style w:type="paragraph" w:customStyle="1" w:styleId="AAA-Aks-Subfigure">
    <w:name w:val="AAA-Aks-Sub figure"/>
    <w:basedOn w:val="Normal"/>
    <w:link w:val="AAA-Aks-SubfigureChar"/>
    <w:rsid w:val="002535A6"/>
    <w:pPr>
      <w:spacing w:after="240"/>
      <w:jc w:val="center"/>
    </w:pPr>
    <w:rPr>
      <w:rFonts w:eastAsia="Times New Roman"/>
      <w:sz w:val="18"/>
      <w:szCs w:val="20"/>
    </w:rPr>
  </w:style>
  <w:style w:type="paragraph" w:customStyle="1" w:styleId="AAA-Bullet-Star">
    <w:name w:val="AAA-Bullet - Star"/>
    <w:basedOn w:val="Normal"/>
    <w:qFormat/>
    <w:rsid w:val="002535A6"/>
    <w:pPr>
      <w:numPr>
        <w:numId w:val="4"/>
      </w:numPr>
    </w:pPr>
  </w:style>
  <w:style w:type="paragraph" w:customStyle="1" w:styleId="AAA-SubTable">
    <w:name w:val="AAA-Sub Table"/>
    <w:basedOn w:val="Normal"/>
    <w:rsid w:val="002535A6"/>
    <w:pPr>
      <w:spacing w:before="120"/>
      <w:jc w:val="center"/>
    </w:pPr>
    <w:rPr>
      <w:rFonts w:ascii="Calibri" w:hAnsi="Calibri"/>
      <w:sz w:val="18"/>
      <w:szCs w:val="20"/>
    </w:rPr>
  </w:style>
  <w:style w:type="paragraph" w:customStyle="1" w:styleId="AAA-EnglishTable">
    <w:name w:val="AAA-English Table"/>
    <w:basedOn w:val="AAE-Normal"/>
    <w:qFormat/>
    <w:rsid w:val="002535A6"/>
    <w:pPr>
      <w:jc w:val="right"/>
    </w:pPr>
    <w:rPr>
      <w:rFonts w:eastAsia="Arial" w:cs="Arial"/>
      <w:sz w:val="20"/>
      <w:szCs w:val="20"/>
    </w:rPr>
  </w:style>
  <w:style w:type="paragraph" w:customStyle="1" w:styleId="AAE-Bullet-Circle">
    <w:name w:val="AAE-Bullet - Circle"/>
    <w:basedOn w:val="AAA-Bullet-Circle"/>
    <w:rsid w:val="002535A6"/>
    <w:pPr>
      <w:bidi w:val="0"/>
    </w:pPr>
    <w:rPr>
      <w:rFonts w:asciiTheme="majorBidi" w:eastAsia="Times New Roman" w:hAnsiTheme="majorBidi"/>
      <w:sz w:val="20"/>
    </w:rPr>
  </w:style>
  <w:style w:type="paragraph" w:customStyle="1" w:styleId="AAE-Bullet-Star">
    <w:name w:val="AAE-Bullet - Star"/>
    <w:basedOn w:val="Normal"/>
    <w:rsid w:val="002535A6"/>
    <w:pPr>
      <w:bidi w:val="0"/>
      <w:ind w:left="720" w:hanging="360"/>
    </w:pPr>
    <w:rPr>
      <w:rFonts w:asciiTheme="majorBidi" w:eastAsia="Times New Roman" w:hAnsiTheme="majorBidi"/>
      <w:sz w:val="24"/>
      <w:lang w:val="en"/>
    </w:rPr>
  </w:style>
  <w:style w:type="paragraph" w:customStyle="1" w:styleId="AAE-Heading1">
    <w:name w:val="AAE-Heading 1"/>
    <w:basedOn w:val="Normal"/>
    <w:rsid w:val="002535A6"/>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535A6"/>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535A6"/>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535A6"/>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535A6"/>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535A6"/>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535A6"/>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535A6"/>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535A6"/>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BC7B5D"/>
  </w:style>
  <w:style w:type="paragraph" w:customStyle="1" w:styleId="AAE-subfigure">
    <w:name w:val="AAE-sub figure"/>
    <w:basedOn w:val="Normal"/>
    <w:rsid w:val="002535A6"/>
    <w:pPr>
      <w:bidi w:val="0"/>
      <w:spacing w:after="200"/>
      <w:jc w:val="center"/>
    </w:pPr>
    <w:rPr>
      <w:rFonts w:eastAsia="Times New Roman"/>
      <w:b/>
      <w:bCs/>
      <w:iCs/>
      <w:noProof/>
      <w:sz w:val="18"/>
      <w:szCs w:val="20"/>
    </w:rPr>
  </w:style>
  <w:style w:type="paragraph" w:customStyle="1" w:styleId="AAE-SubTable">
    <w:name w:val="AAE-Sub Table"/>
    <w:basedOn w:val="AAA-SubTable"/>
    <w:rsid w:val="002535A6"/>
    <w:pPr>
      <w:bidi w:val="0"/>
    </w:pPr>
    <w:rPr>
      <w:rFonts w:eastAsia="Times New Roman"/>
    </w:rPr>
  </w:style>
  <w:style w:type="paragraph" w:styleId="BalloonText">
    <w:name w:val="Balloon Text"/>
    <w:basedOn w:val="Normal"/>
    <w:link w:val="BalloonTextChar"/>
    <w:uiPriority w:val="99"/>
    <w:semiHidden/>
    <w:unhideWhenUsed/>
    <w:rsid w:val="00BC7B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B5D"/>
    <w:rPr>
      <w:rFonts w:ascii="Segoe UI" w:hAnsi="Segoe UI" w:cs="Segoe UI"/>
      <w:sz w:val="18"/>
      <w:szCs w:val="18"/>
    </w:rPr>
  </w:style>
  <w:style w:type="paragraph" w:customStyle="1" w:styleId="AAA-DeutschTable">
    <w:name w:val="AAA-Deutsch Table"/>
    <w:basedOn w:val="AAG-Normal"/>
    <w:qFormat/>
    <w:rsid w:val="002535A6"/>
    <w:rPr>
      <w:sz w:val="20"/>
    </w:rPr>
  </w:style>
  <w:style w:type="paragraph" w:customStyle="1" w:styleId="AAA-Subfigure">
    <w:name w:val="AAA-Sub figure"/>
    <w:basedOn w:val="AAA-Aks-Subfigure"/>
    <w:link w:val="AAA-SubfigureChar"/>
    <w:qFormat/>
    <w:rsid w:val="002535A6"/>
  </w:style>
  <w:style w:type="character" w:customStyle="1" w:styleId="AAA-Aks-SubfigureChar">
    <w:name w:val="AAA-Aks-Sub figure Char"/>
    <w:basedOn w:val="DefaultParagraphFont"/>
    <w:link w:val="AAA-Aks-Subfigure"/>
    <w:rsid w:val="008C1C9A"/>
    <w:rPr>
      <w:rFonts w:eastAsia="Times New Roman" w:cs="B Nazanin"/>
      <w:sz w:val="18"/>
      <w:szCs w:val="20"/>
    </w:rPr>
  </w:style>
  <w:style w:type="character" w:customStyle="1" w:styleId="AAA-SubfigureChar">
    <w:name w:val="AAA-Sub figure Char"/>
    <w:basedOn w:val="AAA-Aks-SubfigureChar"/>
    <w:link w:val="AAA-Subfigure"/>
    <w:rsid w:val="008C1C9A"/>
    <w:rPr>
      <w:rFonts w:eastAsia="Times New Roman" w:cs="B Nazanin"/>
      <w:sz w:val="18"/>
      <w:szCs w:val="20"/>
    </w:rPr>
  </w:style>
  <w:style w:type="character" w:styleId="CommentReference">
    <w:name w:val="annotation reference"/>
    <w:basedOn w:val="DefaultParagraphFont"/>
    <w:uiPriority w:val="99"/>
    <w:semiHidden/>
    <w:unhideWhenUsed/>
    <w:rsid w:val="00BC7B5D"/>
    <w:rPr>
      <w:sz w:val="16"/>
      <w:szCs w:val="16"/>
    </w:rPr>
  </w:style>
  <w:style w:type="paragraph" w:styleId="CommentSubject">
    <w:name w:val="annotation subject"/>
    <w:basedOn w:val="Normal"/>
    <w:link w:val="CommentSubjectChar"/>
    <w:uiPriority w:val="99"/>
    <w:semiHidden/>
    <w:unhideWhenUsed/>
    <w:rsid w:val="00BC7B5D"/>
    <w:rPr>
      <w:b/>
      <w:bCs/>
      <w:szCs w:val="20"/>
    </w:rPr>
  </w:style>
  <w:style w:type="character" w:customStyle="1" w:styleId="CommentSubjectChar">
    <w:name w:val="Comment Subject Char"/>
    <w:basedOn w:val="DefaultParagraphFont"/>
    <w:link w:val="CommentSubject"/>
    <w:uiPriority w:val="99"/>
    <w:semiHidden/>
    <w:rsid w:val="00BC7B5D"/>
    <w:rPr>
      <w:rFonts w:cs="B Nazanin"/>
      <w:b/>
      <w:bCs/>
      <w:sz w:val="20"/>
      <w:szCs w:val="20"/>
    </w:rPr>
  </w:style>
  <w:style w:type="paragraph" w:customStyle="1" w:styleId="StyleAAA-Bulet-CircelLatinCambriaMathItalic">
    <w:name w:val="Style AAA- Bulet- Circel + (Latin) Cambria Math Italic"/>
    <w:basedOn w:val="AAA-Bulet-Circel"/>
    <w:rsid w:val="00BC7B5D"/>
    <w:rPr>
      <w:rFonts w:ascii="Cambria Math" w:hAnsi="Cambria Math"/>
      <w:iCs/>
    </w:rPr>
  </w:style>
  <w:style w:type="paragraph" w:customStyle="1" w:styleId="AAA-Bulet-Circel">
    <w:name w:val="AAA- Bulet- Circel"/>
    <w:basedOn w:val="Normal"/>
    <w:qFormat/>
    <w:rsid w:val="00BC7B5D"/>
    <w:pPr>
      <w:ind w:left="720" w:hanging="360"/>
    </w:pPr>
  </w:style>
  <w:style w:type="paragraph" w:customStyle="1" w:styleId="List02-Circule">
    <w:name w:val="List02-Circule"/>
    <w:basedOn w:val="Normal"/>
    <w:qFormat/>
    <w:rsid w:val="00BC7B5D"/>
    <w:pPr>
      <w:numPr>
        <w:numId w:val="6"/>
      </w:numPr>
    </w:pPr>
    <w:rPr>
      <w:sz w:val="18"/>
      <w:szCs w:val="22"/>
      <w:lang w:bidi="fa-IR"/>
    </w:rPr>
  </w:style>
  <w:style w:type="paragraph" w:customStyle="1" w:styleId="Bullet-Star">
    <w:name w:val="Bullet - Star"/>
    <w:basedOn w:val="Normal"/>
    <w:qFormat/>
    <w:rsid w:val="00BC7B5D"/>
    <w:pPr>
      <w:numPr>
        <w:numId w:val="7"/>
      </w:numPr>
      <w:spacing w:before="0" w:after="0"/>
      <w:ind w:left="714" w:hanging="357"/>
    </w:pPr>
  </w:style>
  <w:style w:type="paragraph" w:customStyle="1" w:styleId="TableEnglish">
    <w:name w:val="Table English"/>
    <w:basedOn w:val="Normal"/>
    <w:qFormat/>
    <w:rsid w:val="00BC7B5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BC7B5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BC7B5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BC7B5D"/>
    <w:pPr>
      <w:tabs>
        <w:tab w:val="left" w:pos="1422"/>
        <w:tab w:val="right" w:leader="dot" w:pos="9350"/>
      </w:tabs>
      <w:spacing w:after="100"/>
      <w:ind w:left="400"/>
    </w:pPr>
  </w:style>
  <w:style w:type="paragraph" w:customStyle="1" w:styleId="Titer">
    <w:name w:val="Titer"/>
    <w:basedOn w:val="Normal"/>
    <w:qFormat/>
    <w:rsid w:val="00BC7B5D"/>
    <w:pPr>
      <w:spacing w:before="0" w:after="0"/>
      <w:jc w:val="left"/>
    </w:pPr>
    <w:rPr>
      <w:bCs/>
      <w:sz w:val="68"/>
      <w:szCs w:val="72"/>
      <w:lang w:bidi="fa-IR"/>
    </w:rPr>
  </w:style>
  <w:style w:type="table" w:styleId="TableGrid">
    <w:name w:val="Table Grid"/>
    <w:basedOn w:val="TableNormal"/>
    <w:uiPriority w:val="39"/>
    <w:rsid w:val="00BC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BC7B5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BC7B5D"/>
    <w:rPr>
      <w:color w:val="954F72" w:themeColor="followedHyperlink"/>
      <w:u w:val="single"/>
    </w:rPr>
  </w:style>
  <w:style w:type="paragraph" w:customStyle="1" w:styleId="BulletJadva">
    <w:name w:val="Bullet Jadva"/>
    <w:basedOn w:val="Bullet-Star"/>
    <w:qFormat/>
    <w:rsid w:val="00BC7B5D"/>
    <w:pPr>
      <w:numPr>
        <w:numId w:val="8"/>
      </w:numPr>
    </w:pPr>
    <w:rPr>
      <w:szCs w:val="20"/>
      <w:lang w:bidi="fa-IR"/>
    </w:rPr>
  </w:style>
  <w:style w:type="character" w:styleId="PlaceholderText">
    <w:name w:val="Placeholder Text"/>
    <w:basedOn w:val="DefaultParagraphFont"/>
    <w:uiPriority w:val="99"/>
    <w:semiHidden/>
    <w:rsid w:val="00BC7B5D"/>
    <w:rPr>
      <w:color w:val="808080"/>
    </w:rPr>
  </w:style>
  <w:style w:type="paragraph" w:styleId="TOC4">
    <w:name w:val="toc 4"/>
    <w:basedOn w:val="Normal"/>
    <w:next w:val="Normal"/>
    <w:autoRedefine/>
    <w:uiPriority w:val="39"/>
    <w:unhideWhenUsed/>
    <w:rsid w:val="00BC7B5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BC7B5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BC7B5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BC7B5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BC7B5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BC7B5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BC7B5D"/>
  </w:style>
  <w:style w:type="paragraph" w:customStyle="1" w:styleId="Number-01">
    <w:name w:val="Number - 01"/>
    <w:basedOn w:val="Bullet-Star"/>
    <w:qFormat/>
    <w:rsid w:val="00BC7B5D"/>
    <w:pPr>
      <w:numPr>
        <w:numId w:val="13"/>
      </w:numPr>
      <w:ind w:left="1434" w:hanging="357"/>
    </w:pPr>
    <w:rPr>
      <w:lang w:bidi="fa-IR"/>
    </w:rPr>
  </w:style>
  <w:style w:type="paragraph" w:customStyle="1" w:styleId="Bullet02">
    <w:name w:val="Bullet 02"/>
    <w:basedOn w:val="Bullet-Star"/>
    <w:rsid w:val="00BC7B5D"/>
    <w:pPr>
      <w:numPr>
        <w:numId w:val="9"/>
      </w:numPr>
    </w:pPr>
    <w:rPr>
      <w:rFonts w:eastAsia="Times New Roman"/>
    </w:rPr>
  </w:style>
  <w:style w:type="paragraph" w:customStyle="1" w:styleId="Bullet03">
    <w:name w:val="Bullet 03"/>
    <w:basedOn w:val="Bullet-Star"/>
    <w:rsid w:val="00BC7B5D"/>
    <w:pPr>
      <w:ind w:left="1080" w:firstLine="0"/>
    </w:pPr>
    <w:rPr>
      <w:rFonts w:eastAsia="Times New Roman"/>
    </w:rPr>
  </w:style>
  <w:style w:type="paragraph" w:customStyle="1" w:styleId="FirstPage-Tick">
    <w:name w:val="First Page - Tick"/>
    <w:basedOn w:val="Normal"/>
    <w:qFormat/>
    <w:rsid w:val="00BC7B5D"/>
    <w:pPr>
      <w:numPr>
        <w:numId w:val="10"/>
      </w:numPr>
      <w:bidi w:val="0"/>
      <w:jc w:val="left"/>
    </w:pPr>
    <w:rPr>
      <w:sz w:val="50"/>
      <w:szCs w:val="56"/>
    </w:rPr>
  </w:style>
  <w:style w:type="paragraph" w:customStyle="1" w:styleId="Firstpage">
    <w:name w:val="First page"/>
    <w:basedOn w:val="Normal"/>
    <w:qFormat/>
    <w:rsid w:val="00BC7B5D"/>
    <w:pPr>
      <w:jc w:val="center"/>
    </w:pPr>
    <w:rPr>
      <w:sz w:val="84"/>
      <w:szCs w:val="90"/>
    </w:rPr>
  </w:style>
  <w:style w:type="paragraph" w:customStyle="1" w:styleId="ListUnderline">
    <w:name w:val="List  Underline"/>
    <w:basedOn w:val="List02-Circule"/>
    <w:rsid w:val="00BC7B5D"/>
    <w:rPr>
      <w:u w:val="double"/>
    </w:rPr>
  </w:style>
  <w:style w:type="paragraph" w:styleId="Caption">
    <w:name w:val="caption"/>
    <w:basedOn w:val="Normal"/>
    <w:next w:val="Normal"/>
    <w:uiPriority w:val="35"/>
    <w:unhideWhenUsed/>
    <w:qFormat/>
    <w:rsid w:val="00BC7B5D"/>
    <w:pPr>
      <w:spacing w:before="0" w:after="200"/>
      <w:jc w:val="center"/>
    </w:pPr>
    <w:rPr>
      <w:iCs/>
      <w:sz w:val="18"/>
      <w:szCs w:val="18"/>
    </w:rPr>
  </w:style>
  <w:style w:type="paragraph" w:customStyle="1" w:styleId="Aks-Subfigure">
    <w:name w:val="Aks-Sub figure"/>
    <w:basedOn w:val="Caption"/>
    <w:rsid w:val="00BC7B5D"/>
    <w:pPr>
      <w:spacing w:after="240"/>
    </w:pPr>
    <w:rPr>
      <w:rFonts w:eastAsia="Times New Roman"/>
      <w:iCs w:val="0"/>
      <w:szCs w:val="20"/>
    </w:rPr>
  </w:style>
  <w:style w:type="paragraph" w:customStyle="1" w:styleId="SubTable">
    <w:name w:val="Sub Table"/>
    <w:basedOn w:val="Caption"/>
    <w:rsid w:val="00BC7B5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BC7B5D"/>
    <w:pPr>
      <w:spacing w:before="0" w:after="0"/>
    </w:pPr>
    <w:rPr>
      <w:szCs w:val="20"/>
    </w:rPr>
  </w:style>
  <w:style w:type="character" w:customStyle="1" w:styleId="FootnoteTextChar">
    <w:name w:val="Footnote Text Char"/>
    <w:basedOn w:val="DefaultParagraphFont"/>
    <w:link w:val="FootnoteText"/>
    <w:uiPriority w:val="99"/>
    <w:semiHidden/>
    <w:rsid w:val="00BC7B5D"/>
    <w:rPr>
      <w:rFonts w:cs="B Nazanin"/>
      <w:sz w:val="20"/>
      <w:szCs w:val="20"/>
    </w:rPr>
  </w:style>
  <w:style w:type="character" w:styleId="FootnoteReference">
    <w:name w:val="footnote reference"/>
    <w:basedOn w:val="DefaultParagraphFont"/>
    <w:uiPriority w:val="99"/>
    <w:semiHidden/>
    <w:unhideWhenUsed/>
    <w:rsid w:val="00BC7B5D"/>
    <w:rPr>
      <w:vertAlign w:val="superscript"/>
    </w:rPr>
  </w:style>
  <w:style w:type="paragraph" w:customStyle="1" w:styleId="MatnAsli">
    <w:name w:val="Matn Asli"/>
    <w:basedOn w:val="Normal"/>
    <w:qFormat/>
    <w:rsid w:val="00BC7B5D"/>
    <w:rPr>
      <w:lang w:bidi="fa-IR"/>
    </w:rPr>
  </w:style>
  <w:style w:type="paragraph" w:customStyle="1" w:styleId="MantAsli-Bold">
    <w:name w:val="Mant Asli- Bold"/>
    <w:basedOn w:val="Normal"/>
    <w:qFormat/>
    <w:rsid w:val="00BC7B5D"/>
    <w:rPr>
      <w:rFonts w:eastAsiaTheme="majorEastAsia"/>
      <w:b/>
      <w:bCs/>
      <w:lang w:bidi="fa-IR"/>
    </w:rPr>
  </w:style>
  <w:style w:type="paragraph" w:customStyle="1" w:styleId="Tick">
    <w:name w:val="Tick"/>
    <w:basedOn w:val="Normal"/>
    <w:qFormat/>
    <w:rsid w:val="00BC7B5D"/>
    <w:pPr>
      <w:numPr>
        <w:numId w:val="11"/>
      </w:numPr>
      <w:spacing w:before="240"/>
    </w:pPr>
    <w:rPr>
      <w:lang w:bidi="fa-IR"/>
    </w:rPr>
  </w:style>
  <w:style w:type="paragraph" w:customStyle="1" w:styleId="Bulet-Circule-Left">
    <w:name w:val="Bulet- Circule- Left"/>
    <w:basedOn w:val="Normal"/>
    <w:next w:val="Normal"/>
    <w:autoRedefine/>
    <w:qFormat/>
    <w:rsid w:val="00BC7B5D"/>
    <w:pPr>
      <w:numPr>
        <w:numId w:val="12"/>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BC7B5D"/>
    <w:rPr>
      <w:rFonts w:ascii="Cambria Math" w:hAnsi="Cambria Math"/>
      <w:i/>
    </w:rPr>
  </w:style>
  <w:style w:type="paragraph" w:customStyle="1" w:styleId="StyleAAA-Bulet-CircelComplexCambria">
    <w:name w:val="Style AAA- Bulet- Circel + (Complex) Cambria"/>
    <w:basedOn w:val="AAA-Bulet-Circel"/>
    <w:rsid w:val="00BC7B5D"/>
  </w:style>
  <w:style w:type="paragraph" w:customStyle="1" w:styleId="AAA-Ashkal">
    <w:name w:val="AAA- Ashkal"/>
    <w:basedOn w:val="MatnAsli"/>
    <w:qFormat/>
    <w:rsid w:val="00BC7B5D"/>
    <w:rPr>
      <w:rFonts w:ascii="Times New Roman" w:hAnsi="Times New Roman" w:cs="Times New Roman"/>
    </w:rPr>
  </w:style>
  <w:style w:type="paragraph" w:customStyle="1" w:styleId="AAA-AksJadval">
    <w:name w:val="AAA- Aks Jadval"/>
    <w:basedOn w:val="Normal"/>
    <w:next w:val="Normal"/>
    <w:qFormat/>
    <w:rsid w:val="00BC7B5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BC7B5D"/>
    <w:pPr>
      <w:spacing w:before="0" w:after="0"/>
    </w:pPr>
    <w:rPr>
      <w:szCs w:val="20"/>
    </w:rPr>
  </w:style>
  <w:style w:type="character" w:customStyle="1" w:styleId="EndnoteTextChar">
    <w:name w:val="Endnote Text Char"/>
    <w:basedOn w:val="DefaultParagraphFont"/>
    <w:link w:val="EndnoteText"/>
    <w:uiPriority w:val="99"/>
    <w:semiHidden/>
    <w:rsid w:val="00BC7B5D"/>
    <w:rPr>
      <w:rFonts w:cs="B Nazanin"/>
      <w:sz w:val="20"/>
      <w:szCs w:val="20"/>
    </w:rPr>
  </w:style>
  <w:style w:type="character" w:styleId="EndnoteReference">
    <w:name w:val="endnote reference"/>
    <w:basedOn w:val="DefaultParagraphFont"/>
    <w:uiPriority w:val="99"/>
    <w:semiHidden/>
    <w:unhideWhenUsed/>
    <w:rsid w:val="00BC7B5D"/>
    <w:rPr>
      <w:vertAlign w:val="superscript"/>
    </w:rPr>
  </w:style>
  <w:style w:type="paragraph" w:customStyle="1" w:styleId="Bullet">
    <w:name w:val="Bullet"/>
    <w:basedOn w:val="Normal"/>
    <w:qFormat/>
    <w:rsid w:val="00BC7B5D"/>
    <w:pPr>
      <w:spacing w:after="0"/>
      <w:ind w:left="720" w:hanging="360"/>
    </w:pPr>
  </w:style>
  <w:style w:type="paragraph" w:styleId="ListParagraph">
    <w:name w:val="List Paragraph"/>
    <w:basedOn w:val="Normal"/>
    <w:next w:val="Normal"/>
    <w:uiPriority w:val="34"/>
    <w:qFormat/>
    <w:rsid w:val="00BC7B5D"/>
    <w:pPr>
      <w:numPr>
        <w:numId w:val="14"/>
      </w:numPr>
      <w:ind w:left="357" w:hanging="357"/>
      <w:contextualSpacing/>
    </w:pPr>
  </w:style>
  <w:style w:type="paragraph" w:styleId="TableofFigures">
    <w:name w:val="table of figures"/>
    <w:basedOn w:val="Normal"/>
    <w:next w:val="Normal"/>
    <w:uiPriority w:val="99"/>
    <w:semiHidden/>
    <w:unhideWhenUsed/>
    <w:rsid w:val="00BC7B5D"/>
    <w:pPr>
      <w:spacing w:after="0"/>
    </w:pPr>
  </w:style>
  <w:style w:type="paragraph" w:customStyle="1" w:styleId="a6">
    <w:name w:val="بالاي عنوان روي جلد"/>
    <w:basedOn w:val="Normal"/>
    <w:rsid w:val="00BC7B5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BC7B5D"/>
    <w:rPr>
      <w:color w:val="000000"/>
    </w:rPr>
  </w:style>
  <w:style w:type="paragraph" w:customStyle="1" w:styleId="a0">
    <w:name w:val="پيشنهادات"/>
    <w:basedOn w:val="Normal"/>
    <w:autoRedefine/>
    <w:qFormat/>
    <w:rsid w:val="00BC7B5D"/>
    <w:pPr>
      <w:numPr>
        <w:numId w:val="15"/>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BC7B5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BC7B5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BC7B5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BC7B5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BC7B5D"/>
    <w:pPr>
      <w:numPr>
        <w:numId w:val="16"/>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BC7B5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BC7B5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BC7B5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BC7B5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BC7B5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BC7B5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BC7B5D"/>
    <w:pPr>
      <w:numPr>
        <w:numId w:val="17"/>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BC7B5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BC7B5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BC7B5D"/>
    <w:pPr>
      <w:bidi w:val="0"/>
      <w:spacing w:before="0"/>
      <w:ind w:firstLine="397"/>
    </w:pPr>
    <w:rPr>
      <w:rFonts w:cs="Compset"/>
      <w:color w:val="000000"/>
    </w:rPr>
  </w:style>
  <w:style w:type="paragraph" w:customStyle="1" w:styleId="af5">
    <w:name w:val="داخل جدول درشت"/>
    <w:autoRedefine/>
    <w:rsid w:val="00BC7B5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BC7B5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BC7B5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BC7B5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BC7B5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BC7B5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BC7B5D"/>
    <w:pPr>
      <w:spacing w:before="0" w:after="120"/>
    </w:pPr>
  </w:style>
  <w:style w:type="paragraph" w:customStyle="1" w:styleId="afa">
    <w:name w:val="زشحفهخد"/>
    <w:basedOn w:val="af9"/>
    <w:rsid w:val="00BC7B5D"/>
    <w:rPr>
      <w:rFonts w:cs="Compset"/>
    </w:rPr>
  </w:style>
  <w:style w:type="paragraph" w:customStyle="1" w:styleId="afb">
    <w:name w:val="زير آرم"/>
    <w:basedOn w:val="Normal"/>
    <w:autoRedefine/>
    <w:qFormat/>
    <w:rsid w:val="00BC7B5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BC7B5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BC7B5D"/>
    <w:pPr>
      <w:numPr>
        <w:numId w:val="18"/>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BC7B5D"/>
    <w:pPr>
      <w:ind w:left="714" w:hanging="357"/>
    </w:pPr>
    <w:rPr>
      <w:vertAlign w:val="subscript"/>
    </w:rPr>
  </w:style>
  <w:style w:type="paragraph" w:customStyle="1" w:styleId="afe">
    <w:name w:val="زير نويس داخل جدول"/>
    <w:basedOn w:val="af"/>
    <w:rsid w:val="00BC7B5D"/>
    <w:rPr>
      <w:vertAlign w:val="subscript"/>
    </w:rPr>
  </w:style>
  <w:style w:type="paragraph" w:customStyle="1" w:styleId="1">
    <w:name w:val="متن اصلي1"/>
    <w:basedOn w:val="Normal"/>
    <w:autoRedefine/>
    <w:rsid w:val="00BC7B5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BC7B5D"/>
    <w:rPr>
      <w:vertAlign w:val="subscript"/>
    </w:rPr>
  </w:style>
  <w:style w:type="character" w:customStyle="1" w:styleId="aff0">
    <w:name w:val="زير نويس‌ها"/>
    <w:basedOn w:val="DefaultParagraphFont"/>
    <w:rsid w:val="00BC7B5D"/>
    <w:rPr>
      <w:vertAlign w:val="subscript"/>
    </w:rPr>
  </w:style>
  <w:style w:type="paragraph" w:customStyle="1" w:styleId="aff1">
    <w:name w:val="سطر اول جدول ها"/>
    <w:basedOn w:val="Normal"/>
    <w:rsid w:val="00BC7B5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BC7B5D"/>
    <w:rPr>
      <w:rFonts w:cs="Times New Roman"/>
    </w:rPr>
  </w:style>
  <w:style w:type="paragraph" w:customStyle="1" w:styleId="aff3">
    <w:name w:val="شماره فصل‌ها"/>
    <w:basedOn w:val="Normal"/>
    <w:autoRedefine/>
    <w:qFormat/>
    <w:rsid w:val="00BC7B5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BC7B5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BC7B5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BC7B5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BC7B5D"/>
    <w:pPr>
      <w:spacing w:after="120" w:line="480" w:lineRule="auto"/>
      <w:ind w:left="360"/>
    </w:pPr>
  </w:style>
  <w:style w:type="character" w:customStyle="1" w:styleId="BodyTextIndent2Char">
    <w:name w:val="Body Text Indent 2 Char"/>
    <w:basedOn w:val="DefaultParagraphFont"/>
    <w:link w:val="BodyTextIndent2"/>
    <w:uiPriority w:val="99"/>
    <w:semiHidden/>
    <w:rsid w:val="00BC7B5D"/>
    <w:rPr>
      <w:rFonts w:cs="B Nazanin"/>
      <w:sz w:val="20"/>
      <w:szCs w:val="26"/>
    </w:rPr>
  </w:style>
  <w:style w:type="paragraph" w:customStyle="1" w:styleId="aff6">
    <w:name w:val="فرموووووووول"/>
    <w:basedOn w:val="Normal"/>
    <w:rsid w:val="00BC7B5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BC7B5D"/>
    <w:pPr>
      <w:numPr>
        <w:numId w:val="19"/>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BC7B5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BC7B5D"/>
    <w:rPr>
      <w:rFonts w:cs="Times New Roman"/>
    </w:rPr>
  </w:style>
  <w:style w:type="paragraph" w:customStyle="1" w:styleId="aff9">
    <w:name w:val="مرجع"/>
    <w:basedOn w:val="Normal"/>
    <w:autoRedefine/>
    <w:qFormat/>
    <w:rsid w:val="00BC7B5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BC7B5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BC7B5D"/>
    <w:pPr>
      <w:numPr>
        <w:numId w:val="20"/>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BC7B5D"/>
    <w:pPr>
      <w:numPr>
        <w:numId w:val="21"/>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BC7B5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BC7B5D"/>
    <w:rPr>
      <w:b/>
      <w:bCs/>
      <w:color w:val="FF0000"/>
    </w:rPr>
  </w:style>
  <w:style w:type="paragraph" w:customStyle="1" w:styleId="Film">
    <w:name w:val="Film"/>
    <w:basedOn w:val="Normal"/>
    <w:qFormat/>
    <w:rsid w:val="00BC7B5D"/>
    <w:rPr>
      <w:rFonts w:asciiTheme="majorBidi" w:hAnsiTheme="majorBidi"/>
      <w:color w:val="FF0000"/>
      <w:lang w:bidi="fa-IR"/>
    </w:rPr>
  </w:style>
  <w:style w:type="paragraph" w:customStyle="1" w:styleId="AAF-Normal">
    <w:name w:val="AAF-Normal"/>
    <w:basedOn w:val="AAE-Normal"/>
    <w:autoRedefine/>
    <w:qFormat/>
    <w:rsid w:val="00BC7B5D"/>
    <w:pPr>
      <w:jc w:val="left"/>
    </w:pPr>
    <w:rPr>
      <w:szCs w:val="20"/>
      <w:lang w:bidi="fa-IR"/>
    </w:rPr>
  </w:style>
  <w:style w:type="paragraph" w:customStyle="1" w:styleId="AAS-Normal">
    <w:name w:val="AAS-Normal"/>
    <w:basedOn w:val="AAE-Normal"/>
    <w:autoRedefine/>
    <w:qFormat/>
    <w:rsid w:val="00BC7B5D"/>
  </w:style>
  <w:style w:type="paragraph" w:customStyle="1" w:styleId="AAAR-Normal">
    <w:name w:val="AAAR-Normal"/>
    <w:basedOn w:val="AAA-MatnAsli"/>
    <w:autoRedefine/>
    <w:qFormat/>
    <w:rsid w:val="00BC7B5D"/>
    <w:rPr>
      <w:rFonts w:cstheme="majorBidi"/>
      <w:sz w:val="22"/>
    </w:rPr>
  </w:style>
  <w:style w:type="paragraph" w:customStyle="1" w:styleId="AARU-Normal">
    <w:name w:val="AARU-Normal"/>
    <w:basedOn w:val="AAE-Normal"/>
    <w:qFormat/>
    <w:rsid w:val="00BC7B5D"/>
  </w:style>
  <w:style w:type="paragraph" w:customStyle="1" w:styleId="AAFA-Answer">
    <w:name w:val="AAFA-Answer"/>
    <w:basedOn w:val="AAA-MatnAsli"/>
    <w:qFormat/>
    <w:rsid w:val="00BC7B5D"/>
    <w:pPr>
      <w:bidi w:val="0"/>
    </w:pPr>
  </w:style>
  <w:style w:type="paragraph" w:customStyle="1" w:styleId="AAFA-Question">
    <w:name w:val="AAFA-Question"/>
    <w:basedOn w:val="AAFA-Answer"/>
    <w:qFormat/>
    <w:rsid w:val="00BC7B5D"/>
  </w:style>
  <w:style w:type="paragraph" w:customStyle="1" w:styleId="AAE-Answer">
    <w:name w:val="AAE-Answer"/>
    <w:basedOn w:val="AAFA-Question"/>
    <w:qFormat/>
    <w:rsid w:val="00BC7B5D"/>
  </w:style>
  <w:style w:type="paragraph" w:customStyle="1" w:styleId="AAE-Question">
    <w:name w:val="AAE-Question"/>
    <w:basedOn w:val="AAE-Answer"/>
    <w:qFormat/>
    <w:rsid w:val="00BC7B5D"/>
  </w:style>
  <w:style w:type="paragraph" w:customStyle="1" w:styleId="AAG-Question">
    <w:name w:val="AAG-Question"/>
    <w:basedOn w:val="AAE-Question"/>
    <w:qFormat/>
    <w:rsid w:val="00BC7B5D"/>
  </w:style>
  <w:style w:type="paragraph" w:customStyle="1" w:styleId="AAG-Answer">
    <w:name w:val="AAG-Answer"/>
    <w:basedOn w:val="AAE-Question"/>
    <w:qFormat/>
    <w:rsid w:val="00BC7B5D"/>
  </w:style>
  <w:style w:type="paragraph" w:customStyle="1" w:styleId="AAS-Question">
    <w:name w:val="AAS-Question"/>
    <w:basedOn w:val="AAE-Question"/>
    <w:qFormat/>
    <w:rsid w:val="00BC7B5D"/>
  </w:style>
  <w:style w:type="paragraph" w:customStyle="1" w:styleId="AAS-Answer">
    <w:name w:val="AAS-Answer"/>
    <w:basedOn w:val="AAE-Question"/>
    <w:qFormat/>
    <w:rsid w:val="00BC7B5D"/>
  </w:style>
  <w:style w:type="paragraph" w:customStyle="1" w:styleId="AAF-Question">
    <w:name w:val="AAF-Question"/>
    <w:basedOn w:val="AAE-Question"/>
    <w:qFormat/>
    <w:rsid w:val="00BC7B5D"/>
  </w:style>
  <w:style w:type="paragraph" w:customStyle="1" w:styleId="AAF-Answer">
    <w:name w:val="AAF-Answer"/>
    <w:basedOn w:val="AAE-Question"/>
    <w:qFormat/>
    <w:rsid w:val="00BC7B5D"/>
  </w:style>
  <w:style w:type="paragraph" w:customStyle="1" w:styleId="AARU-Question">
    <w:name w:val="AARU-Question"/>
    <w:basedOn w:val="AAE-Question"/>
    <w:qFormat/>
    <w:rsid w:val="00BC7B5D"/>
  </w:style>
  <w:style w:type="paragraph" w:customStyle="1" w:styleId="AARU-Answer">
    <w:name w:val="AARU-Answer"/>
    <w:basedOn w:val="AAE-Question"/>
    <w:qFormat/>
    <w:rsid w:val="00BC7B5D"/>
  </w:style>
  <w:style w:type="paragraph" w:customStyle="1" w:styleId="AAAR-Question">
    <w:name w:val="AAAR-Question"/>
    <w:basedOn w:val="AAAR-Normal"/>
    <w:qFormat/>
    <w:rsid w:val="00BC7B5D"/>
    <w:pPr>
      <w:bidi w:val="0"/>
    </w:pPr>
  </w:style>
  <w:style w:type="paragraph" w:customStyle="1" w:styleId="AAAR-Answer">
    <w:name w:val="AAAR-Answer"/>
    <w:basedOn w:val="AAAR-Normal"/>
    <w:qFormat/>
    <w:rsid w:val="00BC7B5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02F05-E828-4476-935E-A96934AE5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36</TotalTime>
  <Pages>1</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41</cp:revision>
  <dcterms:created xsi:type="dcterms:W3CDTF">2020-06-10T09:03:00Z</dcterms:created>
  <dcterms:modified xsi:type="dcterms:W3CDTF">2025-07-14T22:06:00Z</dcterms:modified>
</cp:coreProperties>
</file>